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9"/>
        <w:rPr>
          <w:rStyle w:val="200"/>
          <w:rFonts w:hint="eastAsia" w:ascii="方正小标宋简体" w:hAnsi="Times New Roman" w:eastAsia="方正小标宋简体" w:cs="Times New Roman"/>
          <w:sz w:val="40"/>
          <w:szCs w:val="40"/>
          <w:lang w:eastAsia="zh-CN"/>
        </w:rPr>
      </w:pPr>
    </w:p>
    <w:p>
      <w:pPr>
        <w:spacing w:line="560" w:lineRule="exact"/>
        <w:jc w:val="center"/>
        <w:outlineLvl w:val="9"/>
        <w:rPr>
          <w:rStyle w:val="200"/>
          <w:rFonts w:hint="eastAsia" w:ascii="方正小标宋简体" w:hAnsi="Times New Roman" w:eastAsia="方正小标宋简体" w:cs="Times New Roman"/>
          <w:sz w:val="40"/>
          <w:szCs w:val="40"/>
          <w:lang w:eastAsia="zh-CN"/>
        </w:rPr>
      </w:pPr>
    </w:p>
    <w:p>
      <w:pPr>
        <w:spacing w:line="560" w:lineRule="exact"/>
        <w:jc w:val="center"/>
        <w:outlineLvl w:val="9"/>
        <w:rPr>
          <w:rStyle w:val="200"/>
          <w:rFonts w:hint="eastAsia" w:ascii="方正小标宋简体" w:hAnsi="Times New Roman" w:eastAsia="方正小标宋简体" w:cs="Times New Roman"/>
          <w:sz w:val="52"/>
          <w:szCs w:val="52"/>
          <w:lang w:eastAsia="zh-CN"/>
        </w:rPr>
      </w:pPr>
    </w:p>
    <w:p>
      <w:pPr>
        <w:spacing w:line="560" w:lineRule="exact"/>
        <w:jc w:val="center"/>
        <w:outlineLvl w:val="9"/>
        <w:rPr>
          <w:rFonts w:hint="eastAsia" w:ascii="方正小标宋简体" w:hAnsi="方正小标宋简体" w:eastAsia="方正小标宋简体" w:cs="方正小标宋简体"/>
          <w:b/>
          <w:bCs/>
          <w:sz w:val="52"/>
          <w:szCs w:val="48"/>
          <w:lang w:eastAsia="zh-CN"/>
        </w:rPr>
      </w:pPr>
      <w:r>
        <w:rPr>
          <w:rFonts w:hint="eastAsia" w:ascii="方正小标宋简体" w:hAnsi="方正小标宋简体" w:eastAsia="方正小标宋简体" w:cs="方正小标宋简体"/>
          <w:b/>
          <w:bCs/>
          <w:sz w:val="52"/>
          <w:szCs w:val="48"/>
          <w:lang w:eastAsia="zh-CN"/>
        </w:rPr>
        <w:t>成都高新未来科技城城中村改造</w:t>
      </w:r>
    </w:p>
    <w:p>
      <w:pPr>
        <w:spacing w:line="560" w:lineRule="exact"/>
        <w:jc w:val="center"/>
        <w:outlineLvl w:val="9"/>
        <w:rPr>
          <w:rStyle w:val="200"/>
          <w:rFonts w:hint="default" w:ascii="方正小标宋简体" w:hAnsi="Times New Roman" w:eastAsia="方正小标宋简体" w:cs="Times New Roman"/>
          <w:sz w:val="52"/>
          <w:szCs w:val="52"/>
          <w:lang w:val="en-US" w:eastAsia="zh-CN"/>
        </w:rPr>
      </w:pPr>
      <w:r>
        <w:rPr>
          <w:rFonts w:hint="eastAsia" w:ascii="方正小标宋简体" w:hAnsi="方正小标宋简体" w:eastAsia="方正小标宋简体" w:cs="方正小标宋简体"/>
          <w:b/>
          <w:bCs/>
          <w:sz w:val="52"/>
          <w:szCs w:val="48"/>
          <w:lang w:eastAsia="zh-CN"/>
        </w:rPr>
        <w:t>项目</w:t>
      </w:r>
      <w:r>
        <w:rPr>
          <w:rFonts w:hint="eastAsia" w:ascii="方正小标宋简体" w:hAnsi="方正小标宋简体" w:eastAsia="方正小标宋简体" w:cs="方正小标宋简体"/>
          <w:b/>
          <w:bCs/>
          <w:sz w:val="52"/>
          <w:szCs w:val="48"/>
        </w:rPr>
        <w:t>情况说明</w:t>
      </w: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spacing w:line="560" w:lineRule="exact"/>
        <w:jc w:val="center"/>
        <w:outlineLvl w:val="9"/>
        <w:rPr>
          <w:rStyle w:val="200"/>
          <w:rFonts w:ascii="方正小标宋简体" w:hAnsi="Times New Roman" w:eastAsia="方正小标宋简体" w:cs="Times New Roman"/>
          <w:sz w:val="44"/>
          <w:szCs w:val="44"/>
        </w:rPr>
      </w:pPr>
    </w:p>
    <w:p>
      <w:pPr>
        <w:widowControl/>
        <w:spacing w:after="120" w:afterLines="0"/>
        <w:ind w:firstLine="1800" w:firstLineChars="500"/>
        <w:jc w:val="left"/>
        <w:outlineLvl w:val="9"/>
        <w:rPr>
          <w:rStyle w:val="200"/>
          <w:rFonts w:ascii="黑体" w:hAnsi="黑体" w:eastAsia="黑体" w:cs="Times New Roman"/>
          <w:kern w:val="2"/>
          <w:sz w:val="36"/>
          <w:szCs w:val="36"/>
          <w:lang w:val="en-US" w:eastAsia="zh-CN" w:bidi="ar-SA"/>
        </w:rPr>
      </w:pPr>
    </w:p>
    <w:p>
      <w:pPr>
        <w:spacing w:line="560" w:lineRule="exact"/>
        <w:ind w:firstLine="0" w:firstLineChars="0"/>
        <w:jc w:val="center"/>
        <w:rPr>
          <w:rFonts w:hint="eastAsia" w:ascii="方正小标宋简体" w:hAnsi="Times New Roman" w:eastAsia="方正小标宋简体" w:cs="Times New Roman"/>
          <w:b/>
          <w:bCs/>
          <w:color w:val="auto"/>
          <w:sz w:val="32"/>
          <w:szCs w:val="32"/>
          <w:lang w:val="en-US" w:eastAsia="zh-CN"/>
        </w:rPr>
      </w:pPr>
      <w:r>
        <w:rPr>
          <w:rFonts w:hint="eastAsia" w:ascii="方正小标宋简体" w:hAnsi="Times New Roman" w:eastAsia="方正小标宋简体" w:cs="Times New Roman"/>
          <w:b/>
          <w:bCs/>
          <w:color w:val="auto"/>
          <w:sz w:val="32"/>
          <w:szCs w:val="32"/>
          <w:lang w:val="en-US" w:eastAsia="zh-CN"/>
        </w:rPr>
        <w:t>财政部门：</w:t>
      </w:r>
      <w:r>
        <w:rPr>
          <w:rFonts w:hint="eastAsia" w:ascii="方正小标宋简体" w:eastAsia="方正小标宋简体" w:cs="Times New Roman"/>
          <w:b/>
          <w:bCs/>
          <w:color w:val="auto"/>
          <w:sz w:val="32"/>
          <w:szCs w:val="32"/>
          <w:lang w:val="en-US" w:eastAsia="zh-CN"/>
        </w:rPr>
        <w:t>成都高新技术产业开发区财政国资局</w:t>
      </w:r>
    </w:p>
    <w:p>
      <w:pPr>
        <w:spacing w:line="560" w:lineRule="exact"/>
        <w:ind w:firstLine="0" w:firstLineChars="0"/>
        <w:jc w:val="center"/>
        <w:rPr>
          <w:rFonts w:hint="default" w:ascii="方正小标宋简体" w:hAnsi="Times New Roman" w:eastAsia="方正小标宋简体" w:cs="Times New Roman"/>
          <w:b/>
          <w:bCs/>
          <w:color w:val="auto"/>
          <w:sz w:val="32"/>
          <w:szCs w:val="32"/>
          <w:lang w:val="en-US" w:eastAsia="zh-Hans"/>
        </w:rPr>
      </w:pPr>
      <w:r>
        <w:rPr>
          <w:rFonts w:hint="eastAsia" w:ascii="方正小标宋简体" w:hAnsi="Times New Roman" w:eastAsia="方正小标宋简体" w:cs="Times New Roman"/>
          <w:b/>
          <w:bCs/>
          <w:color w:val="auto"/>
          <w:sz w:val="32"/>
          <w:szCs w:val="32"/>
          <w:lang w:val="en-US" w:eastAsia="zh-CN"/>
        </w:rPr>
        <w:t>发改部门：</w:t>
      </w:r>
      <w:r>
        <w:rPr>
          <w:rFonts w:hint="eastAsia" w:ascii="方正小标宋简体" w:eastAsia="方正小标宋简体" w:cs="Times New Roman"/>
          <w:b/>
          <w:bCs/>
          <w:color w:val="auto"/>
          <w:sz w:val="32"/>
          <w:szCs w:val="32"/>
          <w:lang w:val="en-US" w:eastAsia="zh-CN"/>
        </w:rPr>
        <w:t>成都高新技术产业开发区发展改革局</w:t>
      </w:r>
    </w:p>
    <w:p>
      <w:pPr>
        <w:spacing w:line="560" w:lineRule="exact"/>
        <w:ind w:firstLine="0" w:firstLineChars="0"/>
        <w:jc w:val="center"/>
        <w:rPr>
          <w:rFonts w:hint="eastAsia" w:ascii="方正小标宋简体" w:hAnsi="Times New Roman" w:eastAsia="方正小标宋简体" w:cs="Times New Roman"/>
          <w:b/>
          <w:bCs/>
          <w:color w:val="auto"/>
          <w:sz w:val="32"/>
          <w:szCs w:val="32"/>
          <w:lang w:val="en-US" w:eastAsia="zh-CN"/>
        </w:rPr>
      </w:pPr>
      <w:r>
        <w:rPr>
          <w:rFonts w:hint="eastAsia" w:ascii="方正小标宋简体" w:hAnsi="Times New Roman" w:eastAsia="方正小标宋简体" w:cs="Times New Roman"/>
          <w:b/>
          <w:bCs/>
          <w:color w:val="auto"/>
          <w:sz w:val="32"/>
          <w:szCs w:val="32"/>
          <w:lang w:val="en-US" w:eastAsia="zh-CN"/>
        </w:rPr>
        <w:t>行业主管</w:t>
      </w:r>
      <w:r>
        <w:rPr>
          <w:rFonts w:hint="eastAsia" w:ascii="方正小标宋简体" w:eastAsia="方正小标宋简体" w:cs="Times New Roman"/>
          <w:b/>
          <w:bCs/>
          <w:color w:val="auto"/>
          <w:sz w:val="32"/>
          <w:szCs w:val="32"/>
          <w:lang w:val="en-US" w:eastAsia="zh-CN"/>
        </w:rPr>
        <w:t>部门</w:t>
      </w:r>
      <w:r>
        <w:rPr>
          <w:rFonts w:hint="eastAsia" w:ascii="方正小标宋简体" w:hAnsi="Times New Roman" w:eastAsia="方正小标宋简体" w:cs="Times New Roman"/>
          <w:b/>
          <w:bCs/>
          <w:color w:val="auto"/>
          <w:sz w:val="32"/>
          <w:szCs w:val="32"/>
          <w:lang w:val="en-US" w:eastAsia="zh-CN"/>
        </w:rPr>
        <w:t>：</w:t>
      </w:r>
      <w:r>
        <w:rPr>
          <w:rFonts w:hint="eastAsia" w:ascii="方正小标宋简体" w:eastAsia="方正小标宋简体" w:cs="Times New Roman"/>
          <w:b/>
          <w:bCs/>
          <w:color w:val="auto"/>
          <w:sz w:val="32"/>
          <w:szCs w:val="32"/>
          <w:lang w:val="en-US" w:eastAsia="zh-CN"/>
        </w:rPr>
        <w:t>成都高新技术产业开发区公园城市建设局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Style w:val="200"/>
          <w:rFonts w:hint="eastAsia" w:ascii="黑体" w:hAnsi="黑体" w:eastAsia="黑体" w:cs="Times New Roman"/>
          <w:kern w:val="2"/>
          <w:sz w:val="32"/>
          <w:szCs w:val="32"/>
          <w:lang w:val="en-US" w:eastAsia="zh-CN" w:bidi="ar-SA"/>
        </w:rPr>
      </w:pPr>
      <w:r>
        <w:rPr>
          <w:rFonts w:hint="eastAsia" w:ascii="方正小标宋简体" w:hAnsi="Times New Roman" w:eastAsia="方正小标宋简体" w:cs="Times New Roman"/>
          <w:b/>
          <w:bCs/>
          <w:color w:val="auto"/>
          <w:sz w:val="32"/>
          <w:szCs w:val="32"/>
          <w:lang w:val="en-US" w:eastAsia="zh-CN"/>
        </w:rPr>
        <w:t>项目单位：</w:t>
      </w:r>
      <w:r>
        <w:rPr>
          <w:rFonts w:hint="eastAsia" w:ascii="方正小标宋简体" w:eastAsia="方正小标宋简体" w:cs="Times New Roman"/>
          <w:b/>
          <w:bCs/>
          <w:color w:val="auto"/>
          <w:sz w:val="32"/>
          <w:szCs w:val="32"/>
          <w:lang w:val="en-US" w:eastAsia="zh-CN"/>
        </w:rPr>
        <w:t>成都高新未来科技城建设投资有限公司</w:t>
      </w:r>
    </w:p>
    <w:p>
      <w:pPr>
        <w:keepNext w:val="0"/>
        <w:keepLines w:val="0"/>
        <w:pageBreakBefore w:val="0"/>
        <w:widowControl w:val="0"/>
        <w:kinsoku/>
        <w:wordWrap/>
        <w:overflowPunct/>
        <w:topLinePunct w:val="0"/>
        <w:autoSpaceDE/>
        <w:autoSpaceDN/>
        <w:bidi w:val="0"/>
        <w:adjustRightInd/>
        <w:snapToGrid/>
        <w:spacing w:before="490" w:beforeLines="150" w:line="600" w:lineRule="exact"/>
        <w:jc w:val="center"/>
        <w:textAlignment w:val="auto"/>
        <w:rPr>
          <w:rFonts w:hint="eastAsia" w:ascii="方正小标宋简体" w:hAnsi="方正小标宋简体" w:eastAsia="方正小标宋简体" w:cs="方正小标宋简体"/>
          <w:b/>
          <w:bCs/>
          <w:sz w:val="40"/>
          <w:szCs w:val="36"/>
          <w:lang w:eastAsia="zh-CN"/>
        </w:rPr>
        <w:sectPr>
          <w:headerReference r:id="rId3" w:type="default"/>
          <w:pgSz w:w="11906" w:h="16838"/>
          <w:pgMar w:top="1440" w:right="1800" w:bottom="1440" w:left="1800" w:header="851" w:footer="992" w:gutter="0"/>
          <w:pgNumType w:fmt="decimal" w:start="1"/>
          <w:cols w:space="425" w:num="1"/>
          <w:docGrid w:type="lines" w:linePitch="326" w:charSpace="0"/>
        </w:sectPr>
      </w:pPr>
    </w:p>
    <w:p>
      <w:pPr>
        <w:keepNext w:val="0"/>
        <w:keepLines w:val="0"/>
        <w:pageBreakBefore w:val="0"/>
        <w:widowControl w:val="0"/>
        <w:kinsoku/>
        <w:wordWrap/>
        <w:overflowPunct/>
        <w:topLinePunct w:val="0"/>
        <w:autoSpaceDE/>
        <w:autoSpaceDN/>
        <w:bidi w:val="0"/>
        <w:adjustRightInd/>
        <w:snapToGrid/>
        <w:spacing w:before="490" w:beforeLines="150" w:line="600" w:lineRule="exact"/>
        <w:jc w:val="center"/>
        <w:textAlignment w:val="auto"/>
        <w:rPr>
          <w:rFonts w:hint="eastAsia" w:ascii="方正小标宋简体" w:hAnsi="方正小标宋简体" w:eastAsia="方正小标宋简体" w:cs="方正小标宋简体"/>
          <w:b/>
          <w:bCs/>
          <w:sz w:val="40"/>
          <w:szCs w:val="36"/>
          <w:lang w:eastAsia="zh-CN"/>
        </w:rPr>
      </w:pPr>
      <w:r>
        <w:rPr>
          <w:rFonts w:hint="eastAsia" w:ascii="方正小标宋简体" w:hAnsi="方正小标宋简体" w:eastAsia="方正小标宋简体" w:cs="方正小标宋简体"/>
          <w:b/>
          <w:bCs/>
          <w:sz w:val="40"/>
          <w:szCs w:val="36"/>
          <w:lang w:eastAsia="zh-CN"/>
        </w:rPr>
        <w:t>成都高新未来科技城城中村改造项目</w:t>
      </w:r>
    </w:p>
    <w:p>
      <w:pPr>
        <w:keepNext w:val="0"/>
        <w:keepLines w:val="0"/>
        <w:pageBreakBefore w:val="0"/>
        <w:widowControl w:val="0"/>
        <w:kinsoku/>
        <w:wordWrap/>
        <w:overflowPunct/>
        <w:topLinePunct w:val="0"/>
        <w:autoSpaceDE/>
        <w:autoSpaceDN/>
        <w:bidi w:val="0"/>
        <w:adjustRightInd/>
        <w:snapToGrid/>
        <w:spacing w:before="490" w:beforeLines="150" w:line="600" w:lineRule="exact"/>
        <w:jc w:val="center"/>
        <w:textAlignment w:val="auto"/>
        <w:rPr>
          <w:rFonts w:ascii="Times New Roman" w:hAnsi="Times New Roman" w:eastAsia="仿宋" w:cs="Times New Roman"/>
          <w:b/>
          <w:bCs/>
          <w:sz w:val="40"/>
          <w:szCs w:val="36"/>
        </w:rPr>
      </w:pPr>
      <w:r>
        <w:rPr>
          <w:rFonts w:hint="eastAsia" w:ascii="方正小标宋简体" w:hAnsi="方正小标宋简体" w:eastAsia="方正小标宋简体" w:cs="方正小标宋简体"/>
          <w:b/>
          <w:bCs/>
          <w:sz w:val="40"/>
          <w:szCs w:val="36"/>
        </w:rPr>
        <w:t>情况说明</w:t>
      </w:r>
    </w:p>
    <w:p>
      <w:pPr>
        <w:pStyle w:val="11"/>
        <w:widowControl w:val="0"/>
        <w:spacing w:before="0" w:after="0" w:line="240" w:lineRule="exact"/>
        <w:rPr>
          <w:rFonts w:ascii="Times New Roman" w:hAnsi="Times New Roman" w:eastAsia="仿宋" w:cs="Times New Roman"/>
          <w:lang w:val="en-US"/>
        </w:rPr>
      </w:pPr>
    </w:p>
    <w:p>
      <w:pPr>
        <w:spacing w:before="163" w:beforeLines="50" w:line="360" w:lineRule="auto"/>
        <w:outlineLvl w:val="0"/>
        <w:rPr>
          <w:rFonts w:ascii="Times New Roman" w:hAnsi="Times New Roman" w:eastAsia="仿宋" w:cs="Times New Roman"/>
          <w:b/>
          <w:bCs/>
          <w:sz w:val="32"/>
          <w:szCs w:val="32"/>
        </w:rPr>
      </w:pPr>
      <w:bookmarkStart w:id="0" w:name="_Toc29970"/>
      <w:r>
        <w:rPr>
          <w:rFonts w:ascii="Times New Roman" w:hAnsi="Times New Roman" w:eastAsia="仿宋" w:cs="Times New Roman"/>
          <w:b/>
          <w:bCs/>
          <w:sz w:val="32"/>
          <w:szCs w:val="32"/>
        </w:rPr>
        <w:t>一、项目基本情况</w:t>
      </w:r>
      <w:bookmarkEnd w:id="0"/>
    </w:p>
    <w:p>
      <w:pPr>
        <w:pStyle w:val="3"/>
        <w:spacing w:before="0" w:after="0" w:line="360" w:lineRule="auto"/>
        <w:rPr>
          <w:rFonts w:ascii="Times New Roman" w:hAnsi="Times New Roman" w:eastAsia="仿宋" w:cs="Times New Roman"/>
        </w:rPr>
      </w:pPr>
      <w:bookmarkStart w:id="1" w:name="_Toc498385714"/>
      <w:bookmarkStart w:id="2" w:name="_Toc498385045"/>
      <w:bookmarkStart w:id="3" w:name="_Toc29323"/>
      <w:bookmarkStart w:id="4" w:name="_Toc29907"/>
      <w:r>
        <w:rPr>
          <w:rFonts w:ascii="Times New Roman" w:hAnsi="Times New Roman" w:eastAsia="仿宋" w:cs="Times New Roman"/>
        </w:rPr>
        <w:t>（一）</w:t>
      </w:r>
      <w:bookmarkEnd w:id="1"/>
      <w:bookmarkEnd w:id="2"/>
      <w:r>
        <w:rPr>
          <w:rFonts w:ascii="Times New Roman" w:hAnsi="Times New Roman" w:eastAsia="仿宋" w:cs="Times New Roman"/>
        </w:rPr>
        <w:t>市县及级行业专项规划概况</w:t>
      </w:r>
      <w:bookmarkEnd w:id="3"/>
      <w:bookmarkEnd w:id="4"/>
    </w:p>
    <w:p>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1、《住房城乡建设部、财政部联合印发通知部署各地进一步做好城中村改造工作》</w:t>
      </w:r>
    </w:p>
    <w:p>
      <w:pPr>
        <w:widowControl/>
        <w:spacing w:line="360" w:lineRule="auto"/>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lang w:val="en-US" w:eastAsia="zh-CN"/>
        </w:rPr>
        <w:t>通知明确，地级城市资金能平衡、征收补偿方案成熟的项目，均可纳入政策支持范围。按照通知要求，城中村改造政策支持范围从最初的35个超大特大城市和城区常住人口300万以上的大城市，进一步扩大到了近300个地级及以上城市。这些城市符合条件的城中村改造项目均可以获得政策支持：纳入地方政府专项债券支持范围，开发性、政策性金融机构提供城中村改造专项借款，适用有关税费优惠政策，鼓励商业银行按照市场化、法治化原则提供城中村改造贷款等，确保项目顺利推进</w:t>
      </w:r>
      <w:r>
        <w:rPr>
          <w:rFonts w:hint="eastAsia" w:ascii="Times New Roman" w:hAnsi="Times New Roman" w:eastAsia="仿宋" w:cs="Times New Roman"/>
          <w:bCs/>
          <w:sz w:val="28"/>
          <w:szCs w:val="28"/>
        </w:rPr>
        <w:t>。</w:t>
      </w:r>
    </w:p>
    <w:p>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2、《四川省“十四五”城乡社区发展治理规划》</w:t>
      </w:r>
    </w:p>
    <w:p>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规划提出，“十四五”时期是四川省转型发展、创新发展、跨越发展的关键时期，面临城镇化快速发展、城乡形态深刻重塑、社会结构深刻变化、利益格局深刻调整的时代背景和发展态势，城乡社区发展治理面临新挑战与新要求。</w:t>
      </w:r>
    </w:p>
    <w:p>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规划明确要求推进形态更新。坚持高起点规划、片区化。布局、项目化实施，按照先自治后整治、“一院一策”原则，持续推进城镇老旧小区改造；以改善居住环境为目标，推动棚户区和“城中村”改造；以安全、秩序、整洁为原则，加强对社区建筑立面和建筑风格的有效管控，全面实施背街小巷综合整治；推动城乡结合新型街区形态优化更新。</w:t>
      </w:r>
    </w:p>
    <w:p>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3、《成都市城市更新规划（2023-2035）（征求意见稿）》</w:t>
      </w:r>
    </w:p>
    <w:p>
      <w:pPr>
        <w:widowControl/>
        <w:spacing w:line="360" w:lineRule="auto"/>
        <w:ind w:firstLine="560" w:firstLineChars="200"/>
        <w:rPr>
          <w:rFonts w:hint="default" w:ascii="Times New Roman" w:hAnsi="Times New Roman" w:eastAsia="仿宋" w:cs="Times New Roman"/>
          <w:bCs/>
          <w:sz w:val="28"/>
          <w:szCs w:val="28"/>
          <w:lang w:val="en-US" w:eastAsia="zh-CN"/>
        </w:rPr>
        <w:sectPr>
          <w:pgSz w:w="11906" w:h="16838"/>
          <w:pgMar w:top="1440" w:right="1803" w:bottom="1440" w:left="1803" w:header="851" w:footer="992" w:gutter="0"/>
          <w:pgBorders w:offsetFrom="page">
            <w:top w:val="none" w:sz="0" w:space="0"/>
            <w:left w:val="none" w:sz="0" w:space="0"/>
            <w:bottom w:val="none" w:sz="0" w:space="0"/>
            <w:right w:val="none" w:sz="0" w:space="0"/>
          </w:pgBorders>
          <w:pgNumType w:fmt="decimal"/>
          <w:cols w:space="720" w:num="1"/>
          <w:docGrid w:type="lines" w:linePitch="312" w:charSpace="0"/>
        </w:sectPr>
      </w:pPr>
      <w:r>
        <w:rPr>
          <w:rFonts w:hint="eastAsia" w:ascii="Times New Roman" w:hAnsi="Times New Roman" w:eastAsia="仿宋" w:cs="Times New Roman"/>
          <w:bCs/>
          <w:sz w:val="28"/>
          <w:szCs w:val="28"/>
          <w:lang w:val="en-US" w:eastAsia="zh-CN"/>
        </w:rPr>
        <w:t>规划提出，规划围绕“公园城市示范区建设下的高质量城市更新”的总体目标，立足成都实际与特色通过构建多元主体共建、共治、共享的新发展格局，解决人民群众日益增长的美好生活需要和不平衡不充分发展之间的矛盾，实现空间结构不断优化、产业经济稳步发展、人居环境全面改善文化特色充分彰显、资源资产增值增效，推动城市可持续发展。城市更新科学有序推进，在更新单元统筹、更新政策、制度机制、项目融资等方面形成具备全国影响力的成都经验模式，居住环境宜居舒适、公服设施优质均衡、基础设施安全智能、城市治理现代高效，人民普遍享有安居乐业的幸福美好生活，助力全面建成建设践行新发展理念的公园城市示范区。</w:t>
      </w:r>
    </w:p>
    <w:p>
      <w:pPr>
        <w:widowControl/>
        <w:spacing w:line="360" w:lineRule="auto"/>
        <w:ind w:firstLine="560" w:firstLineChars="200"/>
        <w:rPr>
          <w:rFonts w:hint="eastAsia" w:ascii="Times New Roman" w:hAnsi="Times New Roman" w:eastAsia="仿宋" w:cs="Times New Roman"/>
          <w:bCs/>
          <w:sz w:val="28"/>
          <w:szCs w:val="28"/>
          <w:lang w:val="en-US" w:eastAsia="zh-CN"/>
        </w:rPr>
      </w:pPr>
    </w:p>
    <w:p>
      <w:pPr>
        <w:pStyle w:val="3"/>
        <w:spacing w:before="0" w:after="0" w:line="360" w:lineRule="auto"/>
        <w:rPr>
          <w:rFonts w:ascii="Times New Roman" w:hAnsi="Times New Roman" w:eastAsia="仿宋" w:cs="Times New Roman"/>
        </w:rPr>
      </w:pPr>
      <w:bookmarkStart w:id="5" w:name="_Toc19274"/>
      <w:bookmarkStart w:id="6" w:name="_Toc30057"/>
      <w:bookmarkStart w:id="7" w:name="_Toc21332"/>
      <w:bookmarkStart w:id="8" w:name="_Toc8651"/>
      <w:bookmarkStart w:id="9" w:name="_Toc18204"/>
      <w:bookmarkStart w:id="10" w:name="_Toc3378"/>
      <w:bookmarkStart w:id="11" w:name="_Toc30768"/>
      <w:bookmarkStart w:id="12" w:name="_Toc9841"/>
      <w:bookmarkStart w:id="13" w:name="_Toc29490"/>
      <w:r>
        <w:rPr>
          <w:rFonts w:ascii="Times New Roman" w:hAnsi="Times New Roman" w:eastAsia="仿宋" w:cs="Times New Roman"/>
        </w:rPr>
        <w:t>（二）项目情况</w:t>
      </w:r>
      <w:bookmarkEnd w:id="5"/>
      <w:bookmarkEnd w:id="6"/>
      <w:bookmarkEnd w:id="7"/>
      <w:bookmarkEnd w:id="8"/>
      <w:bookmarkEnd w:id="9"/>
      <w:bookmarkEnd w:id="10"/>
      <w:bookmarkEnd w:id="11"/>
      <w:bookmarkEnd w:id="12"/>
    </w:p>
    <w:p>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14" w:name="_Toc1064"/>
      <w:bookmarkStart w:id="15" w:name="_Toc9265"/>
      <w:bookmarkStart w:id="16" w:name="_Toc11692"/>
      <w:bookmarkStart w:id="17" w:name="_Toc6078"/>
      <w:bookmarkStart w:id="18" w:name="_Toc14119"/>
      <w:bookmarkStart w:id="19" w:name="_Toc23988"/>
      <w:bookmarkStart w:id="20" w:name="_Toc21872"/>
      <w:bookmarkStart w:id="21" w:name="_Toc7914"/>
      <w:r>
        <w:rPr>
          <w:rFonts w:ascii="Times New Roman" w:hAnsi="Times New Roman" w:eastAsia="仿宋" w:cs="Times New Roman"/>
          <w:sz w:val="28"/>
          <w:szCs w:val="28"/>
        </w:rPr>
        <w:t>1.参与主体</w:t>
      </w:r>
      <w:bookmarkEnd w:id="14"/>
      <w:bookmarkEnd w:id="15"/>
      <w:bookmarkEnd w:id="16"/>
      <w:bookmarkEnd w:id="17"/>
      <w:bookmarkEnd w:id="18"/>
      <w:bookmarkEnd w:id="19"/>
      <w:bookmarkEnd w:id="20"/>
      <w:bookmarkEnd w:id="21"/>
    </w:p>
    <w:p>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主管单位：成都高新技术产业开发区公园城市建设局；</w:t>
      </w:r>
    </w:p>
    <w:p>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项目业主：成都高新未来科技城建设投资有限公司。</w:t>
      </w:r>
    </w:p>
    <w:p>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22" w:name="_Toc22356"/>
      <w:bookmarkStart w:id="23" w:name="_Toc14972"/>
      <w:bookmarkStart w:id="24" w:name="_Toc9122"/>
      <w:bookmarkStart w:id="25" w:name="_Toc16934"/>
      <w:bookmarkStart w:id="26" w:name="_Toc4294"/>
      <w:bookmarkStart w:id="27" w:name="_Toc30046"/>
      <w:bookmarkStart w:id="28" w:name="_Toc5326"/>
      <w:bookmarkStart w:id="29" w:name="_Toc10923"/>
      <w:bookmarkStart w:id="30" w:name="_Toc6630"/>
      <w:r>
        <w:rPr>
          <w:rFonts w:ascii="Times New Roman" w:hAnsi="Times New Roman" w:eastAsia="仿宋" w:cs="Times New Roman"/>
          <w:sz w:val="28"/>
          <w:szCs w:val="28"/>
        </w:rPr>
        <w:t>2.项目概况</w:t>
      </w:r>
      <w:bookmarkEnd w:id="22"/>
      <w:bookmarkEnd w:id="23"/>
      <w:bookmarkEnd w:id="24"/>
      <w:bookmarkEnd w:id="25"/>
      <w:bookmarkEnd w:id="26"/>
      <w:bookmarkEnd w:id="27"/>
      <w:bookmarkEnd w:id="28"/>
      <w:bookmarkEnd w:id="29"/>
      <w:bookmarkEnd w:id="30"/>
    </w:p>
    <w:p>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（1）项目名称：</w:t>
      </w:r>
      <w:r>
        <w:rPr>
          <w:rFonts w:hint="eastAsia" w:ascii="Times New Roman" w:hAnsi="Times New Roman" w:eastAsia="仿宋" w:cs="Times New Roman"/>
          <w:caps/>
          <w:sz w:val="28"/>
          <w:szCs w:val="28"/>
          <w:lang w:eastAsia="zh-CN"/>
        </w:rPr>
        <w:t>成都高新未来科技城城中村改造项目</w:t>
      </w:r>
      <w:r>
        <w:rPr>
          <w:rFonts w:ascii="Times New Roman" w:hAnsi="Times New Roman" w:eastAsia="仿宋" w:cs="Times New Roman"/>
          <w:caps/>
          <w:sz w:val="28"/>
          <w:szCs w:val="28"/>
        </w:rPr>
        <w:t>。</w:t>
      </w:r>
    </w:p>
    <w:p>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（2）项目所属领域：</w:t>
      </w:r>
      <w:r>
        <w:rPr>
          <w:rFonts w:hint="eastAsia" w:ascii="Times New Roman" w:hAnsi="Times New Roman" w:eastAsia="仿宋" w:cs="Times New Roman"/>
          <w:caps/>
          <w:sz w:val="28"/>
          <w:szCs w:val="28"/>
          <w:lang w:val="en-US" w:eastAsia="zh-CN"/>
        </w:rPr>
        <w:t>城中村改造，属于有一定收益的公益性事业领域</w:t>
      </w:r>
      <w:r>
        <w:rPr>
          <w:rFonts w:ascii="Times New Roman" w:hAnsi="Times New Roman" w:eastAsia="仿宋" w:cs="Times New Roman"/>
          <w:caps/>
          <w:sz w:val="28"/>
          <w:szCs w:val="28"/>
        </w:rPr>
        <w:t>。</w:t>
      </w:r>
    </w:p>
    <w:p>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（3）项目建设工期：</w:t>
      </w:r>
      <w:r>
        <w:rPr>
          <w:rFonts w:hint="eastAsia" w:ascii="Times New Roman" w:hAnsi="Times New Roman" w:eastAsia="仿宋" w:cs="Times New Roman"/>
          <w:caps/>
          <w:sz w:val="28"/>
          <w:szCs w:val="28"/>
          <w:lang w:val="en-US" w:eastAsia="zh-CN"/>
        </w:rPr>
        <w:t>48个月</w:t>
      </w:r>
      <w:r>
        <w:rPr>
          <w:rFonts w:ascii="Times New Roman" w:hAnsi="Times New Roman" w:eastAsia="仿宋" w:cs="Times New Roman"/>
          <w:caps/>
          <w:sz w:val="28"/>
          <w:szCs w:val="28"/>
        </w:rPr>
        <w:t>。</w:t>
      </w:r>
    </w:p>
    <w:p>
      <w:pPr>
        <w:pStyle w:val="201"/>
        <w:rPr>
          <w:rFonts w:hint="eastAsia" w:ascii="Times New Roman" w:hAnsi="Times New Roman" w:eastAsia="仿宋" w:cs="Times New Roman"/>
          <w:caps/>
          <w:color w:val="auto"/>
          <w:kern w:val="2"/>
          <w:sz w:val="28"/>
          <w:szCs w:val="28"/>
          <w:lang w:val="en-US" w:eastAsia="zh-CN" w:bidi="ar-SA"/>
        </w:rPr>
      </w:pPr>
      <w:r>
        <w:rPr>
          <w:rFonts w:ascii="Times New Roman" w:hAnsi="Times New Roman" w:eastAsia="仿宋" w:cs="Times New Roman"/>
          <w:caps/>
          <w:sz w:val="28"/>
          <w:szCs w:val="28"/>
        </w:rPr>
        <w:t>（4）项目</w:t>
      </w:r>
      <w:r>
        <w:rPr>
          <w:rFonts w:hint="eastAsia" w:ascii="Times New Roman" w:hAnsi="Times New Roman" w:eastAsia="仿宋" w:cs="Times New Roman"/>
          <w:caps/>
          <w:color w:val="auto"/>
          <w:kern w:val="2"/>
          <w:sz w:val="28"/>
          <w:szCs w:val="28"/>
          <w:lang w:val="en-US" w:eastAsia="zh-CN" w:bidi="ar-SA"/>
        </w:rPr>
        <w:t>建设地点：项目主要位于未来科技城智造示范区、国际科教城两个片区。</w:t>
      </w:r>
    </w:p>
    <w:p>
      <w:pPr>
        <w:pStyle w:val="201"/>
        <w:rPr>
          <w:rFonts w:hint="default" w:ascii="Times New Roman" w:hAnsi="Times New Roman" w:eastAsia="仿宋" w:cs="Times New Roman"/>
          <w:caps/>
          <w:color w:val="auto"/>
          <w:kern w:val="2"/>
          <w:sz w:val="28"/>
          <w:szCs w:val="28"/>
          <w:lang w:val="en-US" w:eastAsia="zh-CN" w:bidi="ar-SA"/>
        </w:rPr>
      </w:pPr>
      <w:r>
        <w:rPr>
          <w:rFonts w:hint="default" w:ascii="Times New Roman" w:hAnsi="Times New Roman" w:eastAsia="仿宋" w:cs="Times New Roman"/>
          <w:caps/>
          <w:color w:val="auto"/>
          <w:kern w:val="2"/>
          <w:sz w:val="28"/>
          <w:szCs w:val="28"/>
          <w:lang w:val="en-US" w:eastAsia="zh-CN" w:bidi="ar-SA"/>
        </w:rPr>
        <w:t>智造示范区片区四至</w:t>
      </w:r>
      <w:r>
        <w:rPr>
          <w:rFonts w:hint="eastAsia" w:ascii="Times New Roman" w:hAnsi="Times New Roman" w:eastAsia="仿宋" w:cs="Times New Roman"/>
          <w:caps/>
          <w:color w:val="auto"/>
          <w:kern w:val="2"/>
          <w:sz w:val="28"/>
          <w:szCs w:val="28"/>
          <w:lang w:val="en-US" w:eastAsia="zh-CN" w:bidi="ar-SA"/>
        </w:rPr>
        <w:t>范围为</w:t>
      </w:r>
      <w:r>
        <w:rPr>
          <w:rFonts w:hint="default" w:ascii="Times New Roman" w:hAnsi="Times New Roman" w:eastAsia="仿宋" w:cs="Times New Roman"/>
          <w:caps/>
          <w:color w:val="auto"/>
          <w:kern w:val="2"/>
          <w:sz w:val="28"/>
          <w:szCs w:val="28"/>
          <w:lang w:val="en-US" w:eastAsia="zh-CN" w:bidi="ar-SA"/>
        </w:rPr>
        <w:t>未来科技城草池街道、玉成街道，绛云大道以东，绛云三街以南，东边界以西，绛西河以北。</w:t>
      </w:r>
    </w:p>
    <w:p>
      <w:pPr>
        <w:pStyle w:val="201"/>
        <w:rPr>
          <w:rFonts w:hint="default" w:ascii="Times New Roman" w:hAnsi="Times New Roman" w:eastAsia="仿宋" w:cs="Times New Roman"/>
          <w:caps/>
          <w:color w:val="auto"/>
          <w:kern w:val="2"/>
          <w:sz w:val="28"/>
          <w:szCs w:val="28"/>
          <w:lang w:val="en-US" w:eastAsia="zh-CN" w:bidi="ar-SA"/>
        </w:rPr>
      </w:pPr>
      <w:r>
        <w:rPr>
          <w:rFonts w:hint="default" w:ascii="Times New Roman" w:hAnsi="Times New Roman" w:eastAsia="仿宋" w:cs="Times New Roman"/>
          <w:caps/>
          <w:color w:val="auto"/>
          <w:kern w:val="2"/>
          <w:sz w:val="28"/>
          <w:szCs w:val="28"/>
          <w:lang w:val="en-US" w:eastAsia="zh-CN" w:bidi="ar-SA"/>
        </w:rPr>
        <w:t>国际科教城片区四至</w:t>
      </w:r>
      <w:r>
        <w:rPr>
          <w:rFonts w:hint="eastAsia" w:ascii="Times New Roman" w:hAnsi="Times New Roman" w:eastAsia="仿宋" w:cs="Times New Roman"/>
          <w:caps/>
          <w:color w:val="auto"/>
          <w:kern w:val="2"/>
          <w:sz w:val="28"/>
          <w:szCs w:val="28"/>
          <w:lang w:val="en-US" w:eastAsia="zh-CN" w:bidi="ar-SA"/>
        </w:rPr>
        <w:t>范围为</w:t>
      </w:r>
      <w:r>
        <w:rPr>
          <w:rFonts w:hint="default" w:ascii="Times New Roman" w:hAnsi="Times New Roman" w:eastAsia="仿宋" w:cs="Times New Roman"/>
          <w:caps/>
          <w:color w:val="auto"/>
          <w:kern w:val="2"/>
          <w:sz w:val="28"/>
          <w:szCs w:val="28"/>
          <w:lang w:val="en-US" w:eastAsia="zh-CN" w:bidi="ar-SA"/>
        </w:rPr>
        <w:t>未来科技城福田街道</w:t>
      </w:r>
      <w:r>
        <w:rPr>
          <w:rFonts w:hint="eastAsia" w:ascii="Times New Roman" w:hAnsi="Times New Roman" w:eastAsia="仿宋" w:cs="Times New Roman"/>
          <w:caps/>
          <w:color w:val="auto"/>
          <w:kern w:val="2"/>
          <w:sz w:val="28"/>
          <w:szCs w:val="28"/>
          <w:lang w:val="en-US" w:eastAsia="zh-CN" w:bidi="ar-SA"/>
        </w:rPr>
        <w:t>，</w:t>
      </w:r>
      <w:r>
        <w:rPr>
          <w:rFonts w:hint="default" w:ascii="Times New Roman" w:hAnsi="Times New Roman" w:eastAsia="仿宋" w:cs="Times New Roman"/>
          <w:caps/>
          <w:color w:val="auto"/>
          <w:kern w:val="2"/>
          <w:sz w:val="28"/>
          <w:szCs w:val="28"/>
          <w:lang w:val="en-US" w:eastAsia="zh-CN" w:bidi="ar-SA"/>
        </w:rPr>
        <w:t>绛云大道以东公园大街以南，渔堰4组以西，科技城南大街以北。</w:t>
      </w:r>
    </w:p>
    <w:p>
      <w:pPr>
        <w:pStyle w:val="201"/>
        <w:rPr>
          <w:rFonts w:hint="eastAsia" w:ascii="Times New Roman" w:hAnsi="Times New Roman" w:eastAsia="仿宋" w:cs="Times New Roman"/>
          <w:caps/>
          <w:color w:val="auto"/>
          <w:kern w:val="2"/>
          <w:sz w:val="28"/>
          <w:szCs w:val="28"/>
          <w:lang w:val="en-US" w:eastAsia="zh-CN" w:bidi="ar-SA"/>
        </w:rPr>
      </w:pPr>
      <w:r>
        <w:rPr>
          <w:rFonts w:hint="eastAsia" w:ascii="Times New Roman" w:hAnsi="Times New Roman" w:eastAsia="仿宋" w:cs="Times New Roman"/>
          <w:caps/>
          <w:color w:val="auto"/>
          <w:kern w:val="2"/>
          <w:sz w:val="28"/>
          <w:szCs w:val="28"/>
          <w:lang w:val="en-US" w:eastAsia="zh-CN" w:bidi="ar-SA"/>
        </w:rPr>
        <w:t>（5）建设内容：成都高新未来科技城城中村改造项目主要位于未来科技城智造示范区、国际科教城两个片区，改造实施范围约6822亩，共涉及1054户，总人数3899人。智造示范区片区四至范围为未来科技城草池街道、玉成街道，绛云大道以东，绛云三街以南，东边界以西，绛西河以北。国际科教城片区四至范围为未来科技城福田街道，绛云大道以东公园大街以南，渔堰4组以西，科技城南大街以北。项目建设内容主要包括筹集安置房4010套，总建筑面积33</w:t>
      </w:r>
      <w:r>
        <w:rPr>
          <w:rFonts w:hint="default" w:ascii="Times New Roman" w:hAnsi="Times New Roman" w:eastAsia="仿宋" w:cs="Times New Roman"/>
          <w:caps/>
          <w:color w:val="auto"/>
          <w:kern w:val="2"/>
          <w:sz w:val="28"/>
          <w:szCs w:val="28"/>
          <w:lang w:val="en-US" w:eastAsia="zh-CN" w:bidi="ar-SA"/>
        </w:rPr>
        <w:t>.</w:t>
      </w:r>
      <w:r>
        <w:rPr>
          <w:rFonts w:hint="eastAsia" w:ascii="Times New Roman" w:hAnsi="Times New Roman" w:eastAsia="仿宋" w:cs="Times New Roman"/>
          <w:caps/>
          <w:color w:val="auto"/>
          <w:kern w:val="2"/>
          <w:sz w:val="28"/>
          <w:szCs w:val="28"/>
          <w:lang w:val="en-US" w:eastAsia="zh-CN" w:bidi="ar-SA"/>
        </w:rPr>
        <w:t>24万平方米；新建城中村配套道路约17.3</w:t>
      </w:r>
      <w:r>
        <w:rPr>
          <w:rFonts w:hint="default" w:ascii="Times New Roman" w:hAnsi="Times New Roman" w:eastAsia="仿宋" w:cs="Times New Roman"/>
          <w:caps/>
          <w:color w:val="auto"/>
          <w:kern w:val="2"/>
          <w:sz w:val="28"/>
          <w:szCs w:val="28"/>
          <w:lang w:val="en-US" w:eastAsia="zh-CN" w:bidi="ar-SA"/>
        </w:rPr>
        <w:t>6</w:t>
      </w:r>
      <w:r>
        <w:rPr>
          <w:rFonts w:hint="eastAsia" w:ascii="Times New Roman" w:hAnsi="Times New Roman" w:eastAsia="仿宋" w:cs="Times New Roman"/>
          <w:caps/>
          <w:color w:val="auto"/>
          <w:kern w:val="2"/>
          <w:sz w:val="28"/>
          <w:szCs w:val="28"/>
          <w:lang w:val="en-US" w:eastAsia="zh-CN" w:bidi="ar-SA"/>
        </w:rPr>
        <w:t>公里；新建公共配套服务设施3处，总建筑面积42747平方米；及其他基础设施建设。</w:t>
      </w:r>
    </w:p>
    <w:bookmarkEnd w:id="13"/>
    <w:p>
      <w:pPr>
        <w:spacing w:before="326" w:beforeLines="100" w:line="360" w:lineRule="auto"/>
        <w:outlineLvl w:val="0"/>
        <w:rPr>
          <w:rFonts w:ascii="Times New Roman" w:hAnsi="Times New Roman" w:eastAsia="仿宋" w:cs="Times New Roman"/>
          <w:b/>
          <w:bCs/>
          <w:sz w:val="32"/>
          <w:szCs w:val="32"/>
        </w:rPr>
      </w:pPr>
      <w:bookmarkStart w:id="31" w:name="_Toc1720132"/>
      <w:bookmarkStart w:id="32" w:name="_Toc523481534"/>
      <w:bookmarkStart w:id="33" w:name="_Toc1403"/>
      <w:bookmarkStart w:id="34" w:name="_Toc522211065"/>
      <w:bookmarkStart w:id="35" w:name="_Toc533440322"/>
      <w:r>
        <w:rPr>
          <w:rFonts w:ascii="Times New Roman" w:hAnsi="Times New Roman" w:eastAsia="仿宋" w:cs="Times New Roman"/>
          <w:b/>
          <w:bCs/>
          <w:sz w:val="32"/>
          <w:szCs w:val="32"/>
        </w:rPr>
        <w:t>二、经济社会效益分析</w:t>
      </w:r>
      <w:bookmarkEnd w:id="31"/>
      <w:bookmarkEnd w:id="32"/>
      <w:bookmarkEnd w:id="33"/>
      <w:bookmarkEnd w:id="34"/>
      <w:bookmarkEnd w:id="35"/>
    </w:p>
    <w:p>
      <w:pPr>
        <w:pStyle w:val="3"/>
        <w:spacing w:before="0" w:after="0" w:line="360" w:lineRule="auto"/>
        <w:rPr>
          <w:rFonts w:ascii="Times New Roman" w:hAnsi="Times New Roman" w:eastAsia="仿宋" w:cs="Times New Roman"/>
        </w:rPr>
      </w:pPr>
      <w:bookmarkStart w:id="36" w:name="_Toc522211066"/>
      <w:bookmarkStart w:id="37" w:name="_Toc1720133"/>
      <w:bookmarkStart w:id="38" w:name="_Toc17794"/>
      <w:bookmarkStart w:id="39" w:name="_Toc533440323"/>
      <w:bookmarkStart w:id="40" w:name="_Toc523481535"/>
      <w:r>
        <w:rPr>
          <w:rFonts w:ascii="Times New Roman" w:hAnsi="Times New Roman" w:eastAsia="仿宋" w:cs="Times New Roman"/>
        </w:rPr>
        <w:t>（一）经济效益分析</w:t>
      </w:r>
      <w:bookmarkEnd w:id="36"/>
      <w:bookmarkEnd w:id="37"/>
      <w:bookmarkEnd w:id="38"/>
      <w:bookmarkEnd w:id="39"/>
      <w:bookmarkEnd w:id="40"/>
    </w:p>
    <w:p>
      <w:pPr>
        <w:spacing w:line="360" w:lineRule="auto"/>
        <w:ind w:firstLine="560" w:firstLineChars="200"/>
        <w:rPr>
          <w:rFonts w:hint="eastAsia" w:ascii="Times New Roman" w:hAnsi="Times New Roman" w:eastAsia="仿宋" w:cs="Times New Roman"/>
          <w:sz w:val="28"/>
          <w:szCs w:val="28"/>
          <w:lang w:val="en-US" w:eastAsia="zh-CN"/>
        </w:rPr>
      </w:pPr>
      <w:bookmarkStart w:id="41" w:name="_Toc23271"/>
      <w:bookmarkStart w:id="42" w:name="_Toc533440326"/>
      <w:bookmarkStart w:id="43" w:name="_Toc1720136"/>
      <w:bookmarkStart w:id="44" w:name="_Toc523481538"/>
      <w:bookmarkStart w:id="45" w:name="_Toc523157055"/>
      <w:r>
        <w:rPr>
          <w:rFonts w:hint="eastAsia" w:ascii="Times New Roman" w:hAnsi="Times New Roman" w:eastAsia="仿宋" w:cs="Times New Roman"/>
          <w:sz w:val="28"/>
          <w:szCs w:val="28"/>
          <w:lang w:val="en-US" w:eastAsia="zh-CN"/>
        </w:rPr>
        <w:t>1、‌扩大内需和促进经济增长‌：城中村改造通过提供拆迁款和货币化安置，鼓励拆迁户购买现有库存房，从而创造新的购房需求，消化房地产市场的存量房，促进市场稳定。此外，城中村改造项目通过创造需求和就业，带动了相关产业的发展，如建筑设计、施工、绿化、清洁、物业等。‌</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2、促进就业和创业机会‌：城中村改造涉及拆迁重建和基础设施建设，直接带动了相关行业的就业。改造后的区域环境改善，吸引了商业和零售业的投资，创造了更多的就业机会。此外，城中村改造还为小规模企业和非正式企业提供了发展平台，促进了地方经济发展和扶贫工作‌</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3、提升城市功能和品质‌：城中村改造不仅改善了居民的生活条件，提升了居住环境，还提升了城市的功能和品质。通过基础设施升级、提供基本服务以及建设高质量的住房单元，城中村转变为更宜居、可持续的社区。这不仅提升了城市形象，还吸引了更多的投资和人才‌。</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总的来说，本项目的经济效益主要表现在通过立足实际，强调城市发展的质量与效益，促进片区内的经济高质量和可持续发展。</w:t>
      </w:r>
    </w:p>
    <w:p>
      <w:pPr>
        <w:pStyle w:val="3"/>
        <w:spacing w:before="0" w:after="0" w:line="360" w:lineRule="auto"/>
        <w:rPr>
          <w:rFonts w:ascii="Times New Roman" w:hAnsi="Times New Roman" w:eastAsia="仿宋" w:cs="Times New Roman"/>
        </w:rPr>
      </w:pPr>
      <w:r>
        <w:rPr>
          <w:rFonts w:ascii="Times New Roman" w:hAnsi="Times New Roman" w:eastAsia="仿宋" w:cs="Times New Roman"/>
        </w:rPr>
        <w:t>（二）社会效益分析</w:t>
      </w:r>
      <w:bookmarkEnd w:id="41"/>
      <w:bookmarkEnd w:id="42"/>
      <w:bookmarkEnd w:id="43"/>
      <w:bookmarkEnd w:id="44"/>
      <w:bookmarkEnd w:id="45"/>
    </w:p>
    <w:p>
      <w:pPr>
        <w:spacing w:line="360" w:lineRule="auto"/>
        <w:ind w:firstLine="560" w:firstLineChars="200"/>
        <w:rPr>
          <w:rFonts w:hint="eastAsia" w:ascii="Times New Roman" w:hAnsi="Times New Roman" w:eastAsia="仿宋" w:cs="Times New Roman"/>
          <w:sz w:val="28"/>
          <w:szCs w:val="28"/>
          <w:lang w:val="en-US" w:eastAsia="zh-CN"/>
        </w:rPr>
      </w:pPr>
      <w:bookmarkStart w:id="46" w:name="_Toc19320"/>
      <w:r>
        <w:rPr>
          <w:rFonts w:hint="eastAsia" w:ascii="Times New Roman" w:hAnsi="Times New Roman" w:eastAsia="仿宋" w:cs="Times New Roman"/>
          <w:sz w:val="28"/>
          <w:szCs w:val="28"/>
          <w:lang w:val="en-US" w:eastAsia="zh-CN"/>
        </w:rPr>
        <w:t>1、改善片区城中村环境，增强市民幸福感</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项目所处区域功能亟待优化升级，项目将基于城中村改造进行片区内配套基础设施建设，从而促进城市发展，完善城市现代功能，提升城市品质。项目将综合整治区域环境，打造城市绿色生态环境，为市民提供健康宜居的生活环境，提升生活品质。通过梳理及建设区域内配套基础设施和配套服务设施，增加公共空间舒适度，提升道路环境，美化城市环境，切实改善市民居住生活条件。通过片区功能的延续及提升，在不断满足市民多样化精神文化需求的同时，增强市民对城市的认同感与归属感。</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2、提升居民生活质量，增强社区凝聚力</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项目的建设将有效改善居民居住环境，完善各项配套设施，进一步提高居民生活质量。改善的居住条件可以提供更好的卫生环境、交通条件和社区设施，从而改善居民的生活品质。另外，城中村通常是贫困人口的聚集地，本项目的实施能够减少贫困人口数量，帮助他们融入城市主流社会，提高生活水平；也有助于重建社区凝聚力和居民社交网络。改造后的社区往往会建设公共空间、休闲设施和文化活动场所，促进居民之间的交流和互动，提升社区凝聚力。</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3、实现城市可持续发展与维护社会稳定</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项目属于城中村改造项目，此类项目往往很注重环境保护和可持续发展，如推广绿色建筑、节能设施和循环利用系统等。通过改善城市生态环境，减少环境污染和资源消耗，将有效提升居民生态福祉；通过改善居民的居住条件和生活环境，有助于提高社会稳定和社会安全。改善的居住环境可以减少犯罪率，改善社会治安，提高居民的安全感。</w:t>
      </w:r>
    </w:p>
    <w:p>
      <w:pPr>
        <w:keepNext/>
        <w:spacing w:before="326"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三、项目投资估算与资金筹措方案</w:t>
      </w:r>
      <w:bookmarkEnd w:id="46"/>
    </w:p>
    <w:p>
      <w:pPr>
        <w:pStyle w:val="3"/>
        <w:spacing w:before="0" w:after="0" w:line="360" w:lineRule="auto"/>
        <w:rPr>
          <w:rFonts w:ascii="Times New Roman" w:hAnsi="Times New Roman" w:eastAsia="仿宋" w:cs="Times New Roman"/>
        </w:rPr>
      </w:pPr>
      <w:bookmarkStart w:id="47" w:name="_Toc523157062"/>
      <w:bookmarkStart w:id="48" w:name="_Toc5108"/>
      <w:bookmarkStart w:id="49" w:name="_Toc1720145"/>
      <w:bookmarkStart w:id="50" w:name="_Toc533440335"/>
      <w:bookmarkStart w:id="51" w:name="_Toc522211078"/>
      <w:bookmarkStart w:id="52" w:name="_Toc523481542"/>
      <w:r>
        <w:rPr>
          <w:rFonts w:ascii="Times New Roman" w:hAnsi="Times New Roman" w:eastAsia="仿宋" w:cs="Times New Roman"/>
        </w:rPr>
        <w:t>（一）投资估算</w:t>
      </w:r>
      <w:bookmarkEnd w:id="47"/>
      <w:bookmarkEnd w:id="48"/>
      <w:bookmarkEnd w:id="49"/>
      <w:bookmarkEnd w:id="50"/>
      <w:bookmarkEnd w:id="51"/>
      <w:bookmarkEnd w:id="52"/>
    </w:p>
    <w:p>
      <w:pPr>
        <w:spacing w:line="360" w:lineRule="auto"/>
        <w:ind w:firstLine="560" w:firstLineChars="200"/>
        <w:rPr>
          <w:rFonts w:hint="eastAsia" w:ascii="Times New Roman" w:hAnsi="Times New Roman" w:eastAsia="仿宋" w:cs="Times New Roman"/>
          <w:sz w:val="28"/>
          <w:szCs w:val="28"/>
          <w:lang w:val="en-US" w:eastAsia="zh-CN"/>
        </w:rPr>
      </w:pPr>
      <w:bookmarkStart w:id="53" w:name="_Toc23109"/>
      <w:r>
        <w:rPr>
          <w:rFonts w:hint="eastAsia" w:ascii="Times New Roman" w:hAnsi="Times New Roman" w:eastAsia="仿宋" w:cs="Times New Roman"/>
          <w:sz w:val="28"/>
          <w:szCs w:val="28"/>
          <w:lang w:val="en-US" w:eastAsia="zh-CN"/>
        </w:rPr>
        <w:t>项目总投资：项目总投资额估算513,000.00万元，项目总投资=建设投资费用+建设期专项债券利息+债券发行费用。</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（1）项目建设投资费用主要包括工程费用、工程建设其他费用、预备费等共计约491,670.00万元；</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（2）</w:t>
      </w:r>
      <w:bookmarkStart w:id="54" w:name="_Toc498385727"/>
      <w:bookmarkStart w:id="55" w:name="_Toc497498365"/>
      <w:bookmarkStart w:id="56" w:name="_Toc498385059"/>
      <w:r>
        <w:rPr>
          <w:rFonts w:hint="eastAsia" w:ascii="Times New Roman" w:hAnsi="Times New Roman" w:eastAsia="仿宋" w:cs="Times New Roman"/>
          <w:sz w:val="28"/>
          <w:szCs w:val="28"/>
          <w:lang w:val="en-US" w:eastAsia="zh-CN"/>
        </w:rPr>
        <w:t>根据建设进度与资金需求，本项目2025—2029年分年建设，根据中国地方政府债券信息公开平台提供数据，参考2025年四川省政府再融资一般债券（一期）再融资专项债券（一期）、一般债券（一期）及专项债券（一至七期）发行结果公告，5年期债券票面利率1.48%，7年期债券票面利率1.61%，10年期债券票面利率1.79%，15年期债券票面利率1.99%，20年期债券票面利率2.05%，30年期债券票面利率2.07%，本项目参照30年期票面利率2.07%上浮后按照。2</w:t>
      </w:r>
      <w:r>
        <w:rPr>
          <w:rFonts w:hint="default" w:ascii="Times New Roman" w:hAnsi="Times New Roman" w:eastAsia="仿宋" w:cs="Times New Roman"/>
          <w:sz w:val="28"/>
          <w:szCs w:val="28"/>
          <w:lang w:val="en-US" w:eastAsia="zh-CN"/>
        </w:rPr>
        <w:t>.50</w:t>
      </w:r>
      <w:r>
        <w:rPr>
          <w:rFonts w:hint="eastAsia" w:ascii="Times New Roman" w:hAnsi="Times New Roman" w:eastAsia="仿宋" w:cs="Times New Roman"/>
          <w:sz w:val="28"/>
          <w:szCs w:val="28"/>
          <w:lang w:val="en-US" w:eastAsia="zh-CN"/>
        </w:rPr>
        <w:t>%进行测算，建设期利息共计21,000.00万元。</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3）根据四川省财政厅关于印发《2018年四川省政府债券公开招标发行兑付办法》的通知（川财库〔2018〕120号）文件，四川省财政厅发行2018年四川省政府债券，向承销团员支付发行费，1年、2年、3年期为发行面值的0.5‰，5年、7年、10年、15年、20年期为发行面值的1‰。本项目拟发行债券期限为</w:t>
      </w: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0年，债券发行成本暂按发债额的1‰计算，故本项目债券发行费用为330.00万元。</w:t>
      </w:r>
    </w:p>
    <w:bookmarkEnd w:id="54"/>
    <w:bookmarkEnd w:id="55"/>
    <w:bookmarkEnd w:id="56"/>
    <w:p>
      <w:pPr>
        <w:pStyle w:val="3"/>
        <w:spacing w:before="0" w:after="0" w:line="360" w:lineRule="auto"/>
        <w:rPr>
          <w:rFonts w:ascii="Times New Roman" w:hAnsi="Times New Roman" w:eastAsia="仿宋" w:cs="Times New Roman"/>
        </w:rPr>
      </w:pPr>
      <w:r>
        <w:rPr>
          <w:rFonts w:ascii="Times New Roman" w:hAnsi="Times New Roman" w:eastAsia="仿宋" w:cs="Times New Roman"/>
        </w:rPr>
        <w:t>（二）资金筹措方案</w:t>
      </w:r>
      <w:bookmarkEnd w:id="53"/>
    </w:p>
    <w:p>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57" w:name="_Toc523157067"/>
      <w:bookmarkStart w:id="58" w:name="_Toc533440340"/>
      <w:bookmarkStart w:id="59" w:name="_Toc1720150"/>
      <w:bookmarkStart w:id="60" w:name="_Toc19703"/>
      <w:bookmarkStart w:id="61" w:name="_Toc523481547"/>
      <w:bookmarkStart w:id="62" w:name="_Toc522211083"/>
      <w:bookmarkStart w:id="63" w:name="_Toc20821"/>
      <w:r>
        <w:rPr>
          <w:rFonts w:ascii="Times New Roman" w:hAnsi="Times New Roman" w:eastAsia="仿宋" w:cs="Times New Roman"/>
          <w:sz w:val="28"/>
          <w:szCs w:val="28"/>
        </w:rPr>
        <w:t>1.资金来源</w:t>
      </w:r>
      <w:bookmarkEnd w:id="57"/>
      <w:bookmarkEnd w:id="58"/>
      <w:bookmarkEnd w:id="59"/>
      <w:bookmarkEnd w:id="60"/>
      <w:bookmarkEnd w:id="61"/>
      <w:bookmarkEnd w:id="62"/>
      <w:bookmarkEnd w:id="63"/>
    </w:p>
    <w:p>
      <w:pPr>
        <w:spacing w:line="360" w:lineRule="auto"/>
        <w:ind w:firstLine="560" w:firstLineChars="200"/>
        <w:rPr>
          <w:rFonts w:hint="eastAsia" w:ascii="Times New Roman" w:hAnsi="Times New Roman" w:eastAsia="仿宋" w:cs="Times New Roman"/>
          <w:sz w:val="28"/>
          <w:szCs w:val="28"/>
          <w:lang w:val="en-US" w:eastAsia="zh-CN"/>
        </w:rPr>
      </w:pPr>
      <w:bookmarkStart w:id="64" w:name="_Toc25776"/>
      <w:bookmarkStart w:id="65" w:name="_Toc523481549"/>
      <w:bookmarkStart w:id="66" w:name="_Toc1720152"/>
      <w:bookmarkStart w:id="67" w:name="_Toc533440342"/>
      <w:bookmarkStart w:id="68" w:name="_Toc523157069"/>
      <w:r>
        <w:rPr>
          <w:rFonts w:hint="eastAsia" w:ascii="Times New Roman" w:hAnsi="Times New Roman" w:eastAsia="仿宋" w:cs="Times New Roman"/>
          <w:sz w:val="28"/>
          <w:szCs w:val="28"/>
          <w:lang w:val="en-US" w:eastAsia="zh-CN"/>
        </w:rPr>
        <w:t>本项目总投资513,000.00万元，其中项目资本金183,000.00万元，发行专项债券330,000.00万元。</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资本金来源：项目资本金183,000.00万元，占项目总投资的35.67%，符合国发〔2019〕26号文和国发〔2015〕51号文要求。资本金来源于业主自筹，能够覆盖项目建设期利息和债券发行费用。业主自筹资金</w:t>
      </w:r>
      <w:r>
        <w:rPr>
          <w:rFonts w:hint="eastAsia" w:ascii="Times New Roman" w:hAnsi="Times New Roman" w:eastAsia="仿宋" w:cs="Times New Roman"/>
          <w:sz w:val="28"/>
          <w:szCs w:val="28"/>
          <w:lang w:val="en-US" w:eastAsia="zh-Hans"/>
        </w:rPr>
        <w:t>将</w:t>
      </w:r>
      <w:r>
        <w:rPr>
          <w:rFonts w:hint="eastAsia" w:ascii="Times New Roman" w:hAnsi="Times New Roman" w:eastAsia="仿宋" w:cs="Times New Roman"/>
          <w:sz w:val="28"/>
          <w:szCs w:val="28"/>
          <w:lang w:val="en-US" w:eastAsia="zh-CN"/>
        </w:rPr>
        <w:t>按照项目实际实施及资金使用情况到位。</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融资来源：拟发行地方政府专项债券330,000.00万元，占总投资的64.33%。</w:t>
      </w:r>
      <w:r>
        <w:rPr>
          <w:rFonts w:hint="eastAsia" w:ascii="Times New Roman" w:hAnsi="Times New Roman" w:eastAsia="仿宋" w:cs="Times New Roman"/>
          <w:sz w:val="28"/>
          <w:szCs w:val="28"/>
          <w:lang w:eastAsia="zh-CN"/>
        </w:rPr>
        <w:t>其中2025年拟发行</w:t>
      </w:r>
      <w:r>
        <w:rPr>
          <w:rFonts w:hint="eastAsia" w:ascii="Times New Roman" w:hAnsi="Times New Roman" w:eastAsia="仿宋" w:cs="Times New Roman"/>
          <w:sz w:val="28"/>
          <w:szCs w:val="28"/>
          <w:lang w:val="en-US" w:eastAsia="zh-CN"/>
        </w:rPr>
        <w:t>7</w:t>
      </w:r>
      <w:r>
        <w:rPr>
          <w:rFonts w:hint="eastAsia" w:ascii="Times New Roman" w:hAnsi="Times New Roman" w:eastAsia="仿宋" w:cs="Times New Roman"/>
          <w:sz w:val="28"/>
          <w:szCs w:val="28"/>
          <w:lang w:eastAsia="zh-CN"/>
        </w:rPr>
        <w:t>0,000.00万元，2026年拟发行100,000.00万元，2027年拟发行</w:t>
      </w:r>
      <w:r>
        <w:rPr>
          <w:rFonts w:hint="eastAsia" w:ascii="Times New Roman" w:hAnsi="Times New Roman" w:eastAsia="仿宋" w:cs="Times New Roman"/>
          <w:sz w:val="28"/>
          <w:szCs w:val="28"/>
          <w:lang w:val="en-US" w:eastAsia="zh-CN"/>
        </w:rPr>
        <w:t>10</w:t>
      </w:r>
      <w:r>
        <w:rPr>
          <w:rFonts w:hint="eastAsia" w:ascii="Times New Roman" w:hAnsi="Times New Roman" w:eastAsia="仿宋" w:cs="Times New Roman"/>
          <w:sz w:val="28"/>
          <w:szCs w:val="28"/>
          <w:lang w:eastAsia="zh-CN"/>
        </w:rPr>
        <w:t>0,000.00万元，2028年拟发行</w:t>
      </w:r>
      <w:r>
        <w:rPr>
          <w:rFonts w:hint="eastAsia" w:ascii="Times New Roman" w:hAnsi="Times New Roman" w:eastAsia="仿宋" w:cs="Times New Roman"/>
          <w:sz w:val="28"/>
          <w:szCs w:val="28"/>
          <w:lang w:val="en-US" w:eastAsia="zh-CN"/>
        </w:rPr>
        <w:t>6</w:t>
      </w:r>
      <w:r>
        <w:rPr>
          <w:rFonts w:hint="eastAsia" w:ascii="Times New Roman" w:hAnsi="Times New Roman" w:eastAsia="仿宋" w:cs="Times New Roman"/>
          <w:sz w:val="28"/>
          <w:szCs w:val="28"/>
          <w:lang w:eastAsia="zh-CN"/>
        </w:rPr>
        <w:t>0,000.00万元，</w:t>
      </w:r>
      <w:r>
        <w:rPr>
          <w:rFonts w:hint="eastAsia" w:ascii="Times New Roman" w:hAnsi="Times New Roman" w:eastAsia="仿宋" w:cs="Times New Roman"/>
          <w:sz w:val="28"/>
          <w:szCs w:val="28"/>
          <w:lang w:val="en-US" w:eastAsia="zh-CN"/>
        </w:rPr>
        <w:t>期限为30年，按半年付息，到期一次性偿还本金。</w:t>
      </w:r>
    </w:p>
    <w:p>
      <w:pPr>
        <w:pStyle w:val="4"/>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2.资金使用计划</w:t>
      </w:r>
      <w:bookmarkEnd w:id="64"/>
      <w:bookmarkEnd w:id="65"/>
      <w:bookmarkEnd w:id="66"/>
      <w:bookmarkEnd w:id="67"/>
      <w:bookmarkEnd w:id="68"/>
    </w:p>
    <w:p>
      <w:pPr>
        <w:spacing w:line="360" w:lineRule="auto"/>
        <w:ind w:firstLine="560" w:firstLineChars="200"/>
        <w:rPr>
          <w:rFonts w:hint="default" w:ascii="Times New Roman" w:hAnsi="Times New Roman" w:eastAsia="仿宋" w:cs="Times New Roman"/>
          <w:sz w:val="28"/>
          <w:szCs w:val="28"/>
          <w:lang w:val="en-US" w:eastAsia="zh-CN"/>
        </w:rPr>
      </w:pPr>
      <w:bookmarkStart w:id="69" w:name="_Toc9196"/>
      <w:r>
        <w:rPr>
          <w:rFonts w:hint="eastAsia" w:ascii="Times New Roman" w:hAnsi="Times New Roman" w:eastAsia="仿宋" w:cs="Times New Roman"/>
          <w:sz w:val="28"/>
          <w:szCs w:val="28"/>
          <w:lang w:val="en-US" w:eastAsia="zh-CN"/>
        </w:rPr>
        <w:t>本项目采用顺延年度的表示方法作为假设基础，测算表中涉及的2025年等同于2025年6月-2026年5月（12个月）、2026年等同于2026年6月-2027年5月（12个月）、2027年等同于2027年6月-2028年5月（12个月）、2028年等同于2028年6月-2029年5月（12个月），以此类推。采用此种方式，可保证资本化利息期间与建设期保持一致，且债券收益、债券本金及利息不受开工时间的影响。</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项目投资计划按照工程进度分年度投入，根据项目建设工程进度，资金计划在建设期内拟按规划的比例投入。</w:t>
      </w:r>
    </w:p>
    <w:p>
      <w:pPr>
        <w:spacing w:line="360" w:lineRule="auto"/>
        <w:jc w:val="center"/>
        <w:rPr>
          <w:rFonts w:hint="eastAsia" w:ascii="Times New Roman" w:hAnsi="Times New Roman" w:eastAsia="仿宋" w:cs="Times New Roman"/>
          <w:b/>
          <w:bCs/>
          <w:sz w:val="28"/>
          <w:szCs w:val="28"/>
        </w:rPr>
      </w:pPr>
      <w:r>
        <w:rPr>
          <w:rFonts w:hint="eastAsia" w:ascii="Times New Roman" w:hAnsi="Times New Roman" w:eastAsia="仿宋" w:cs="Times New Roman"/>
          <w:b/>
          <w:bCs/>
          <w:sz w:val="28"/>
          <w:szCs w:val="28"/>
        </w:rPr>
        <w:t>项目资金使用计划表（金额单位：</w:t>
      </w:r>
      <w:r>
        <w:rPr>
          <w:rFonts w:hint="eastAsia" w:ascii="Times New Roman" w:hAnsi="Times New Roman" w:eastAsia="仿宋" w:cs="Times New Roman"/>
          <w:b/>
          <w:bCs/>
          <w:sz w:val="28"/>
          <w:szCs w:val="28"/>
          <w:lang w:val="zh-CN"/>
        </w:rPr>
        <w:t>人民币</w:t>
      </w:r>
      <w:r>
        <w:rPr>
          <w:rFonts w:hint="eastAsia" w:ascii="Times New Roman" w:hAnsi="Times New Roman" w:eastAsia="仿宋" w:cs="Times New Roman"/>
          <w:b/>
          <w:bCs/>
          <w:sz w:val="28"/>
          <w:szCs w:val="28"/>
        </w:rPr>
        <w:t>万元）</w:t>
      </w:r>
    </w:p>
    <w:tbl>
      <w:tblPr>
        <w:tblStyle w:val="3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55"/>
        <w:gridCol w:w="1293"/>
        <w:gridCol w:w="1293"/>
        <w:gridCol w:w="1293"/>
        <w:gridCol w:w="1294"/>
        <w:gridCol w:w="12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widowControl/>
              <w:suppressLineNumbers w:val="0"/>
              <w:spacing w:line="240" w:lineRule="atLeast"/>
              <w:ind w:firstLine="0" w:firstLineChars="0"/>
              <w:jc w:val="center"/>
              <w:textAlignment w:val="center"/>
              <w:rPr>
                <w:rFonts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项目</w:t>
            </w:r>
          </w:p>
        </w:tc>
        <w:tc>
          <w:tcPr>
            <w:tcW w:w="0" w:type="auto"/>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合计</w:t>
            </w:r>
          </w:p>
        </w:tc>
        <w:tc>
          <w:tcPr>
            <w:tcW w:w="0" w:type="auto"/>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2025年</w:t>
            </w:r>
          </w:p>
        </w:tc>
        <w:tc>
          <w:tcPr>
            <w:tcW w:w="0" w:type="auto"/>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2026年</w:t>
            </w:r>
          </w:p>
        </w:tc>
        <w:tc>
          <w:tcPr>
            <w:tcW w:w="0" w:type="auto"/>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2027年</w:t>
            </w:r>
          </w:p>
        </w:tc>
        <w:tc>
          <w:tcPr>
            <w:tcW w:w="0" w:type="auto"/>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2028年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投资进度</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100.00%</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25.00%</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25.00%</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25.00%</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一、投资</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（一）建设投资</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491,670.00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126,430.00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123,900.00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121,400.00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119,940.00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1、工程费用</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263,644.38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67,794.58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66,437.93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65,097.38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64,314.49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（1）建筑安装工程</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263,644.38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67,794.58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66,437.93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65,097.38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64,314.49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2、工程建设其他费用</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215,015.92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55,290.06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54,183.64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53,090.35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52,451.87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3、预备费用</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13,009.70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3,345.37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3,278.42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3,212.27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3,173.64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（二）建设期利息</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21,000.00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1,750.00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4,250.00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6,750.00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（三）专项债券发行费用</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330.00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70.00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小计</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513,000.00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128,250.00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128,250.00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128,250.00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二、筹资</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（一）项目资本金</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183,000.00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58,250.00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28,250.00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28,250.00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（二）发行专项债券</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330,000.00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70,000.00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100,000.00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100,000.00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60,000.00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小计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513,000.00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128,250.00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128,250.00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128,250.00 </w:t>
            </w:r>
          </w:p>
        </w:tc>
        <w:tc>
          <w:tcPr>
            <w:tcW w:w="0" w:type="auto"/>
            <w:tcBorders>
              <w:top w:val="single" w:color="00B0F0" w:sz="4" w:space="0"/>
              <w:left w:val="single" w:color="00B0F0" w:sz="4" w:space="0"/>
              <w:bottom w:val="single" w:color="00B0F0" w:sz="4" w:space="0"/>
              <w:right w:val="single" w:color="00B0F0" w:sz="4" w:space="0"/>
            </w:tcBorders>
            <w:noWrap w:val="0"/>
            <w:vAlign w:val="center"/>
          </w:tcPr>
          <w:p>
            <w:pPr>
              <w:keepNext w:val="0"/>
              <w:keepLines w:val="0"/>
              <w:widowControl/>
              <w:suppressLineNumbers w:val="0"/>
              <w:spacing w:line="240" w:lineRule="atLeast"/>
              <w:ind w:firstLine="0" w:firstLineChars="0"/>
              <w:jc w:val="righ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 xml:space="preserve"> 128,250.00 </w:t>
            </w:r>
          </w:p>
        </w:tc>
      </w:tr>
    </w:tbl>
    <w:p>
      <w:pPr>
        <w:spacing w:before="326"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四、项目预期收益、成本及融资平衡情况</w:t>
      </w:r>
      <w:bookmarkEnd w:id="69"/>
    </w:p>
    <w:p>
      <w:pPr>
        <w:pStyle w:val="3"/>
        <w:spacing w:before="0" w:after="0" w:line="360" w:lineRule="auto"/>
        <w:rPr>
          <w:rFonts w:ascii="Times New Roman" w:hAnsi="Times New Roman" w:eastAsia="仿宋" w:cs="Times New Roman"/>
        </w:rPr>
      </w:pPr>
      <w:bookmarkStart w:id="70" w:name="_Toc523481552"/>
      <w:bookmarkStart w:id="71" w:name="_Toc523157072"/>
      <w:bookmarkStart w:id="72" w:name="_Toc27170"/>
      <w:bookmarkStart w:id="73" w:name="_Toc533440345"/>
      <w:bookmarkStart w:id="74" w:name="_Toc522211088"/>
      <w:bookmarkStart w:id="75" w:name="_Toc1720155"/>
      <w:r>
        <w:rPr>
          <w:rFonts w:ascii="Times New Roman" w:hAnsi="Times New Roman" w:eastAsia="仿宋" w:cs="Times New Roman"/>
        </w:rPr>
        <w:t>（一）预期收益</w:t>
      </w:r>
      <w:bookmarkEnd w:id="70"/>
      <w:bookmarkEnd w:id="71"/>
      <w:bookmarkEnd w:id="72"/>
      <w:bookmarkEnd w:id="73"/>
      <w:bookmarkEnd w:id="74"/>
      <w:bookmarkEnd w:id="75"/>
    </w:p>
    <w:p>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1.项目收入预测</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①项目对应的政府性基金收入：成都高新未来科技城城中村改造项目土地出让财政计提后返还收入；</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②项目专项收入：停车位收入、充电桩服务收入、广告位收入、配套服务设施租赁收入、配套服务设施自营收入。</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全部用于偿还专项债券，将纳入政府性基金预算管理。</w:t>
      </w:r>
    </w:p>
    <w:p>
      <w:pPr>
        <w:spacing w:line="360" w:lineRule="auto"/>
        <w:ind w:firstLine="560" w:firstLineChars="200"/>
        <w:rPr>
          <w:rFonts w:ascii="Times New Roman" w:hAnsi="Times New Roman" w:eastAsia="仿宋" w:cs="Times New Roman"/>
          <w:b/>
          <w:bCs/>
          <w:kern w:val="0"/>
          <w:sz w:val="28"/>
          <w:szCs w:val="28"/>
        </w:rPr>
      </w:pPr>
      <w:r>
        <w:rPr>
          <w:rStyle w:val="54"/>
          <w:rFonts w:hint="eastAsia" w:cs="Times New Roman"/>
        </w:rPr>
        <w:t>项目运营期</w:t>
      </w:r>
      <w:r>
        <w:rPr>
          <w:rStyle w:val="54"/>
          <w:rFonts w:hint="eastAsia" w:cs="Times New Roman"/>
          <w:lang w:val="en-US" w:eastAsia="zh-CN"/>
        </w:rPr>
        <w:t>预期总收</w:t>
      </w:r>
      <w:r>
        <w:rPr>
          <w:rFonts w:hint="eastAsia" w:ascii="Times New Roman" w:hAnsi="Times New Roman" w:eastAsia="仿宋" w:cs="Times New Roman"/>
          <w:sz w:val="28"/>
          <w:szCs w:val="28"/>
          <w:lang w:val="en-US" w:eastAsia="zh-CN"/>
        </w:rPr>
        <w:t>入为704,533.61万元（含税）</w:t>
      </w:r>
      <w:r>
        <w:rPr>
          <w:rFonts w:hint="eastAsia" w:ascii="Times New Roman" w:hAnsi="Times New Roman" w:eastAsia="仿宋" w:cs="Times New Roman"/>
          <w:sz w:val="28"/>
          <w:szCs w:val="28"/>
          <w:lang w:val="en-US" w:eastAsia="zh-Hans"/>
        </w:rPr>
        <w:t>。</w:t>
      </w:r>
    </w:p>
    <w:p>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2.成本预测</w:t>
      </w:r>
    </w:p>
    <w:p>
      <w:pPr>
        <w:spacing w:line="360" w:lineRule="auto"/>
        <w:ind w:firstLine="560" w:firstLineChars="200"/>
        <w:rPr>
          <w:rFonts w:hint="eastAsia" w:ascii="Times New Roman" w:hAnsi="Times New Roman" w:eastAsia="仿宋" w:cs="Times New Roman"/>
          <w:sz w:val="28"/>
          <w:szCs w:val="28"/>
          <w:lang w:val="en-US" w:eastAsia="zh-CN"/>
        </w:rPr>
      </w:pPr>
      <w:bookmarkStart w:id="76" w:name="_Toc373"/>
      <w:r>
        <w:rPr>
          <w:rFonts w:hint="eastAsia" w:ascii="Times New Roman" w:hAnsi="Times New Roman" w:eastAsia="仿宋" w:cs="Times New Roman"/>
          <w:sz w:val="28"/>
          <w:szCs w:val="28"/>
          <w:lang w:val="en-US" w:eastAsia="zh-CN"/>
        </w:rPr>
        <w:t>项目总成本包括经营成本、折旧费用、财务费用，其中经营成本包括人员工资</w:t>
      </w:r>
      <w:r>
        <w:rPr>
          <w:rFonts w:hint="default" w:ascii="Times New Roman" w:hAnsi="Times New Roman" w:eastAsia="仿宋" w:cs="Times New Roman"/>
          <w:sz w:val="28"/>
          <w:szCs w:val="28"/>
          <w:lang w:val="en-US" w:eastAsia="zh-CN"/>
        </w:rPr>
        <w:t>、</w:t>
      </w:r>
      <w:r>
        <w:rPr>
          <w:rFonts w:hint="eastAsia" w:ascii="Times New Roman" w:hAnsi="Times New Roman" w:eastAsia="仿宋" w:cs="Times New Roman"/>
          <w:sz w:val="28"/>
          <w:szCs w:val="28"/>
          <w:lang w:val="en-US" w:eastAsia="zh-CN"/>
        </w:rPr>
        <w:t>水电能源、</w:t>
      </w:r>
      <w:r>
        <w:rPr>
          <w:rFonts w:hint="eastAsia" w:ascii="Times New Roman" w:hAnsi="Times New Roman" w:eastAsia="仿宋" w:cs="Times New Roman"/>
          <w:sz w:val="28"/>
          <w:szCs w:val="28"/>
          <w:lang w:val="en-US" w:eastAsia="zh-Hans"/>
        </w:rPr>
        <w:t>其他管理成本</w:t>
      </w:r>
      <w:r>
        <w:rPr>
          <w:rFonts w:hint="eastAsia" w:ascii="Times New Roman" w:hAnsi="Times New Roman" w:eastAsia="仿宋" w:cs="Times New Roman"/>
          <w:sz w:val="28"/>
          <w:szCs w:val="28"/>
          <w:lang w:val="en-US" w:eastAsia="zh-CN"/>
        </w:rPr>
        <w:t>、维修维护成本、配套服务设施自营成本</w:t>
      </w:r>
      <w:r>
        <w:rPr>
          <w:rFonts w:hint="eastAsia" w:ascii="Times New Roman" w:hAnsi="Times New Roman" w:eastAsia="仿宋" w:cs="Times New Roman"/>
          <w:sz w:val="28"/>
          <w:szCs w:val="28"/>
          <w:lang w:val="en-US" w:eastAsia="zh-Hans"/>
        </w:rPr>
        <w:t>等</w:t>
      </w:r>
      <w:r>
        <w:rPr>
          <w:rFonts w:hint="eastAsia" w:ascii="Times New Roman" w:hAnsi="Times New Roman" w:eastAsia="仿宋" w:cs="Times New Roman"/>
          <w:sz w:val="28"/>
          <w:szCs w:val="28"/>
          <w:lang w:val="en-US" w:eastAsia="zh-CN"/>
        </w:rPr>
        <w:t>。项目计算</w:t>
      </w:r>
      <w:r>
        <w:rPr>
          <w:rFonts w:ascii="Times New Roman" w:hAnsi="Times New Roman" w:eastAsia="仿宋" w:cs="Times New Roman"/>
          <w:sz w:val="28"/>
          <w:szCs w:val="28"/>
        </w:rPr>
        <w:t>期内预计产生</w:t>
      </w:r>
      <w:r>
        <w:rPr>
          <w:rFonts w:hint="eastAsia" w:ascii="Times New Roman" w:hAnsi="Times New Roman" w:eastAsia="仿宋" w:cs="Times New Roman"/>
          <w:sz w:val="28"/>
          <w:szCs w:val="28"/>
          <w:lang w:val="en-US" w:eastAsia="zh-CN"/>
        </w:rPr>
        <w:t>总成本合计494,428.40万元（不含税），其中项目运营成本</w:t>
      </w:r>
      <w:r>
        <w:rPr>
          <w:rFonts w:hint="default" w:ascii="Times New Roman" w:hAnsi="Times New Roman" w:eastAsia="仿宋" w:cs="Times New Roman"/>
          <w:sz w:val="28"/>
          <w:szCs w:val="28"/>
          <w:lang w:val="en-US" w:eastAsia="zh-CN"/>
        </w:rPr>
        <w:t xml:space="preserve"> 35,789.69 </w:t>
      </w:r>
      <w:r>
        <w:rPr>
          <w:rFonts w:hint="eastAsia" w:ascii="Times New Roman" w:hAnsi="Times New Roman" w:eastAsia="仿宋" w:cs="Times New Roman"/>
          <w:sz w:val="28"/>
          <w:szCs w:val="28"/>
          <w:lang w:val="en-US" w:eastAsia="zh-CN"/>
        </w:rPr>
        <w:t>万元（含税）。</w:t>
      </w:r>
    </w:p>
    <w:bookmarkEnd w:id="76"/>
    <w:p>
      <w:pPr>
        <w:pStyle w:val="3"/>
        <w:spacing w:before="0" w:after="0" w:line="360" w:lineRule="auto"/>
        <w:rPr>
          <w:rFonts w:ascii="Times New Roman" w:hAnsi="Times New Roman" w:eastAsia="仿宋" w:cs="Times New Roman"/>
        </w:rPr>
      </w:pPr>
      <w:r>
        <w:rPr>
          <w:rFonts w:ascii="Times New Roman" w:hAnsi="Times New Roman" w:eastAsia="仿宋" w:cs="Times New Roman"/>
        </w:rPr>
        <w:t>（二）资金测算平衡情况</w:t>
      </w:r>
    </w:p>
    <w:p>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77" w:name="_Toc18760766"/>
      <w:bookmarkStart w:id="78" w:name="_Toc24256"/>
      <w:bookmarkStart w:id="79" w:name="_Toc20333"/>
      <w:bookmarkStart w:id="80" w:name="_Toc1381"/>
      <w:r>
        <w:rPr>
          <w:rFonts w:ascii="Times New Roman" w:hAnsi="Times New Roman" w:eastAsia="仿宋" w:cs="Times New Roman"/>
          <w:sz w:val="28"/>
          <w:szCs w:val="28"/>
        </w:rPr>
        <w:t>1.项目还本付息计划</w:t>
      </w:r>
      <w:bookmarkEnd w:id="77"/>
      <w:bookmarkEnd w:id="78"/>
      <w:bookmarkEnd w:id="79"/>
      <w:bookmarkEnd w:id="80"/>
    </w:p>
    <w:p>
      <w:pPr>
        <w:spacing w:line="360" w:lineRule="auto"/>
        <w:ind w:firstLine="560" w:firstLineChars="200"/>
        <w:rPr>
          <w:rFonts w:hint="eastAsia" w:ascii="Times New Roman" w:hAnsi="Times New Roman" w:eastAsia="仿宋" w:cs="Times New Roman"/>
          <w:sz w:val="28"/>
          <w:szCs w:val="28"/>
          <w:lang w:val="en-US" w:eastAsia="zh-CN"/>
        </w:rPr>
      </w:pPr>
      <w:bookmarkStart w:id="81" w:name="_Toc13883"/>
      <w:bookmarkStart w:id="82" w:name="_Toc15443"/>
      <w:bookmarkStart w:id="83" w:name="_Toc18760767"/>
      <w:bookmarkStart w:id="84" w:name="_Toc12782"/>
      <w:r>
        <w:rPr>
          <w:rFonts w:hint="eastAsia" w:ascii="Times New Roman" w:hAnsi="Times New Roman" w:eastAsia="仿宋" w:cs="Times New Roman"/>
          <w:sz w:val="28"/>
          <w:szCs w:val="28"/>
          <w:lang w:val="en-US" w:eastAsia="zh-CN"/>
        </w:rPr>
        <w:t>拟发行地方政府专项债券330,000.00万元，占总投资的64.33%。</w:t>
      </w:r>
      <w:r>
        <w:rPr>
          <w:rFonts w:hint="eastAsia" w:ascii="Times New Roman" w:hAnsi="Times New Roman" w:eastAsia="仿宋" w:cs="Times New Roman"/>
          <w:sz w:val="28"/>
          <w:szCs w:val="28"/>
          <w:lang w:eastAsia="zh-CN"/>
        </w:rPr>
        <w:t>其中2025年拟发行</w:t>
      </w:r>
      <w:r>
        <w:rPr>
          <w:rFonts w:hint="eastAsia" w:ascii="Times New Roman" w:hAnsi="Times New Roman" w:eastAsia="仿宋" w:cs="Times New Roman"/>
          <w:sz w:val="28"/>
          <w:szCs w:val="28"/>
          <w:lang w:val="en-US" w:eastAsia="zh-CN"/>
        </w:rPr>
        <w:t>7</w:t>
      </w:r>
      <w:r>
        <w:rPr>
          <w:rFonts w:hint="eastAsia" w:ascii="Times New Roman" w:hAnsi="Times New Roman" w:eastAsia="仿宋" w:cs="Times New Roman"/>
          <w:sz w:val="28"/>
          <w:szCs w:val="28"/>
          <w:lang w:eastAsia="zh-CN"/>
        </w:rPr>
        <w:t>0,000.00万元，2026年拟发行100,000.00万元，2027年拟发行</w:t>
      </w:r>
      <w:r>
        <w:rPr>
          <w:rFonts w:hint="eastAsia" w:ascii="Times New Roman" w:hAnsi="Times New Roman" w:eastAsia="仿宋" w:cs="Times New Roman"/>
          <w:sz w:val="28"/>
          <w:szCs w:val="28"/>
          <w:lang w:val="en-US" w:eastAsia="zh-CN"/>
        </w:rPr>
        <w:t>10</w:t>
      </w:r>
      <w:r>
        <w:rPr>
          <w:rFonts w:hint="eastAsia" w:ascii="Times New Roman" w:hAnsi="Times New Roman" w:eastAsia="仿宋" w:cs="Times New Roman"/>
          <w:sz w:val="28"/>
          <w:szCs w:val="28"/>
          <w:lang w:eastAsia="zh-CN"/>
        </w:rPr>
        <w:t>0,000.00万元，2028年拟发行</w:t>
      </w:r>
      <w:r>
        <w:rPr>
          <w:rFonts w:hint="eastAsia" w:ascii="Times New Roman" w:hAnsi="Times New Roman" w:eastAsia="仿宋" w:cs="Times New Roman"/>
          <w:sz w:val="28"/>
          <w:szCs w:val="28"/>
          <w:lang w:val="en-US" w:eastAsia="zh-CN"/>
        </w:rPr>
        <w:t>6</w:t>
      </w:r>
      <w:r>
        <w:rPr>
          <w:rFonts w:hint="eastAsia" w:ascii="Times New Roman" w:hAnsi="Times New Roman" w:eastAsia="仿宋" w:cs="Times New Roman"/>
          <w:sz w:val="28"/>
          <w:szCs w:val="28"/>
          <w:lang w:eastAsia="zh-CN"/>
        </w:rPr>
        <w:t>0,000.00万元，</w:t>
      </w:r>
      <w:r>
        <w:rPr>
          <w:rFonts w:hint="eastAsia" w:ascii="Times New Roman" w:hAnsi="Times New Roman" w:eastAsia="仿宋" w:cs="Times New Roman"/>
          <w:sz w:val="28"/>
          <w:szCs w:val="28"/>
          <w:lang w:val="en-US" w:eastAsia="zh-CN"/>
        </w:rPr>
        <w:t>期限为30年，按半年付息，到期一次性偿还本金。</w:t>
      </w:r>
    </w:p>
    <w:p>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2.项目资金平衡情况</w:t>
      </w:r>
      <w:bookmarkEnd w:id="81"/>
      <w:bookmarkEnd w:id="82"/>
      <w:bookmarkEnd w:id="83"/>
      <w:bookmarkEnd w:id="84"/>
    </w:p>
    <w:p>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项目成熟度较高，已在项目筹备期依据自身假设提前对收益与融资进行策划与测算，编制时已考虑到项目工期、发行计划等变动因素，测算得出的</w:t>
      </w:r>
      <w:r>
        <w:rPr>
          <w:rFonts w:hint="eastAsia" w:ascii="Times New Roman" w:hAnsi="Times New Roman" w:eastAsia="仿宋" w:cs="Times New Roman"/>
          <w:sz w:val="28"/>
          <w:szCs w:val="28"/>
          <w:lang w:val="en-US" w:eastAsia="zh-CN"/>
        </w:rPr>
        <w:t>收益</w:t>
      </w:r>
      <w:r>
        <w:rPr>
          <w:rFonts w:hint="eastAsia" w:ascii="Times New Roman" w:hAnsi="Times New Roman" w:eastAsia="仿宋" w:cs="Times New Roman"/>
          <w:sz w:val="28"/>
          <w:szCs w:val="28"/>
        </w:rPr>
        <w:t>覆盖倍数大于1，能够保障项目还本付息。因此得出结论：本项目收益情况不会因为项目开竣工时间、发行计划变动等因素影响项目的还本付息。</w:t>
      </w:r>
    </w:p>
    <w:p>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根据《基本建设项目建设成本管理规定》，第四条第五点“项目建设期间发生的各类借款利息、债券利息、贷款评估费、国外借款手续费及承诺费、汇兑损益、债券发行费用及其他债务利息支出或融资费用”，本项目建设期利息和发行费将作为资本性支出列出总投资，且可由项目资本金支付。</w:t>
      </w:r>
    </w:p>
    <w:p>
      <w:pPr>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根据测算分析，在满足假设条件的前提下，本项目运营期内</w:t>
      </w:r>
      <w:r>
        <w:rPr>
          <w:rFonts w:hint="eastAsia" w:ascii="Times New Roman" w:hAnsi="Times New Roman" w:eastAsia="仿宋" w:cs="Times New Roman"/>
          <w:sz w:val="28"/>
          <w:szCs w:val="28"/>
          <w:lang w:val="en-US" w:eastAsia="zh-CN"/>
        </w:rPr>
        <w:t>净</w:t>
      </w:r>
      <w:r>
        <w:rPr>
          <w:rFonts w:hint="default" w:ascii="Times New Roman" w:hAnsi="Times New Roman" w:eastAsia="仿宋" w:cs="Times New Roman"/>
          <w:sz w:val="28"/>
          <w:szCs w:val="28"/>
          <w:lang w:val="en-US" w:eastAsia="zh-CN"/>
        </w:rPr>
        <w:t>现金流为</w:t>
      </w:r>
      <w:r>
        <w:rPr>
          <w:rFonts w:hint="eastAsia" w:ascii="Times New Roman" w:hAnsi="Times New Roman" w:eastAsia="仿宋" w:cs="Times New Roman"/>
          <w:sz w:val="28"/>
          <w:szCs w:val="28"/>
          <w:lang w:val="en-US" w:eastAsia="zh-CN"/>
        </w:rPr>
        <w:t>654,594.17</w:t>
      </w:r>
      <w:r>
        <w:rPr>
          <w:rFonts w:hint="default" w:ascii="Times New Roman" w:hAnsi="Times New Roman" w:eastAsia="仿宋" w:cs="Times New Roman"/>
          <w:sz w:val="28"/>
          <w:szCs w:val="28"/>
          <w:lang w:val="en-US" w:eastAsia="zh-CN"/>
        </w:rPr>
        <w:t>万元，待项目在偿还全部专项债</w:t>
      </w:r>
      <w:r>
        <w:rPr>
          <w:rFonts w:hint="eastAsia" w:ascii="Times New Roman" w:hAnsi="Times New Roman" w:eastAsia="仿宋" w:cs="Times New Roman"/>
          <w:sz w:val="28"/>
          <w:szCs w:val="28"/>
          <w:lang w:val="en-US" w:eastAsia="zh-CN"/>
        </w:rPr>
        <w:t xml:space="preserve"> 577,500.00</w:t>
      </w:r>
      <w:r>
        <w:rPr>
          <w:rFonts w:hint="default" w:ascii="Times New Roman" w:hAnsi="Times New Roman" w:eastAsia="仿宋" w:cs="Times New Roman"/>
          <w:sz w:val="28"/>
          <w:szCs w:val="28"/>
          <w:lang w:val="en-US" w:eastAsia="zh-CN"/>
        </w:rPr>
        <w:t>万元本息后，将仍有</w:t>
      </w:r>
      <w:r>
        <w:rPr>
          <w:rFonts w:hint="eastAsia" w:ascii="Times New Roman" w:hAnsi="Times New Roman" w:eastAsia="仿宋" w:cs="Times New Roman"/>
          <w:sz w:val="28"/>
          <w:szCs w:val="28"/>
          <w:lang w:val="en-US" w:eastAsia="zh-CN"/>
        </w:rPr>
        <w:t>98,094.17</w:t>
      </w:r>
      <w:r>
        <w:rPr>
          <w:rFonts w:hint="default" w:ascii="Times New Roman" w:hAnsi="Times New Roman" w:eastAsia="仿宋" w:cs="Times New Roman"/>
          <w:sz w:val="28"/>
          <w:szCs w:val="28"/>
          <w:lang w:val="en-US" w:eastAsia="zh-CN"/>
        </w:rPr>
        <w:t>万元的累计现金结余。本项目专项债券本息覆盖倍数为</w:t>
      </w:r>
      <w:r>
        <w:rPr>
          <w:rFonts w:hint="eastAsia" w:ascii="Times New Roman" w:hAnsi="Times New Roman" w:eastAsia="仿宋" w:cs="Times New Roman"/>
          <w:sz w:val="28"/>
          <w:szCs w:val="28"/>
          <w:lang w:val="en-US" w:eastAsia="zh-CN"/>
        </w:rPr>
        <w:t>1.13</w:t>
      </w:r>
      <w:r>
        <w:rPr>
          <w:rFonts w:hint="default" w:ascii="Times New Roman" w:hAnsi="Times New Roman" w:eastAsia="仿宋" w:cs="Times New Roman"/>
          <w:sz w:val="28"/>
          <w:szCs w:val="28"/>
          <w:lang w:val="en-US" w:eastAsia="zh-CN"/>
        </w:rPr>
        <w:t>倍</w:t>
      </w: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lang w:val="en-US" w:eastAsia="zh-CN"/>
        </w:rPr>
        <w:t>能够实现项目收益和融资自求平衡。</w:t>
      </w:r>
    </w:p>
    <w:p>
      <w:pPr>
        <w:spacing w:line="360" w:lineRule="auto"/>
        <w:ind w:firstLine="560" w:firstLineChars="200"/>
        <w:rPr>
          <w:rFonts w:ascii="Times New Roman" w:hAnsi="Times New Roman" w:eastAsia="仿宋" w:cs="Times New Roman"/>
          <w:sz w:val="28"/>
          <w:szCs w:val="28"/>
        </w:rPr>
        <w:sectPr>
          <w:footerReference r:id="rId4" w:type="default"/>
          <w:pgSz w:w="11906" w:h="16838"/>
          <w:pgMar w:top="1440" w:right="1800" w:bottom="1440" w:left="1800" w:header="851" w:footer="992" w:gutter="0"/>
          <w:pgNumType w:fmt="decimal" w:start="1"/>
          <w:cols w:space="425" w:num="1"/>
          <w:docGrid w:type="lines" w:linePitch="326" w:charSpace="0"/>
        </w:sectPr>
      </w:pPr>
      <w:r>
        <w:rPr>
          <w:rFonts w:ascii="Times New Roman" w:hAnsi="Times New Roman" w:eastAsia="仿宋" w:cs="Times New Roman"/>
          <w:sz w:val="28"/>
          <w:szCs w:val="28"/>
        </w:rPr>
        <w:t>资金测算平衡情况具体见表下表所示：</w:t>
      </w:r>
    </w:p>
    <w:p>
      <w:pPr>
        <w:spacing w:line="360" w:lineRule="auto"/>
        <w:jc w:val="center"/>
        <w:rPr>
          <w:rFonts w:ascii="Times New Roman" w:hAnsi="Times New Roman" w:eastAsia="仿宋" w:cs="Times New Roman"/>
          <w:b/>
          <w:bCs/>
          <w:sz w:val="28"/>
          <w:szCs w:val="40"/>
        </w:rPr>
      </w:pPr>
      <w:r>
        <w:rPr>
          <w:rFonts w:ascii="Times New Roman" w:hAnsi="Times New Roman" w:eastAsia="仿宋" w:cs="Times New Roman"/>
          <w:b/>
          <w:bCs/>
          <w:sz w:val="28"/>
          <w:szCs w:val="40"/>
        </w:rPr>
        <w:t>资金平衡测算表（单位：万元）</w:t>
      </w:r>
    </w:p>
    <w:tbl>
      <w:tblPr>
        <w:tblStyle w:val="3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17"/>
        <w:gridCol w:w="1004"/>
        <w:gridCol w:w="1004"/>
        <w:gridCol w:w="1004"/>
        <w:gridCol w:w="1004"/>
        <w:gridCol w:w="1004"/>
        <w:gridCol w:w="953"/>
        <w:gridCol w:w="953"/>
        <w:gridCol w:w="953"/>
        <w:gridCol w:w="953"/>
        <w:gridCol w:w="953"/>
        <w:gridCol w:w="953"/>
        <w:gridCol w:w="953"/>
        <w:gridCol w:w="953"/>
        <w:gridCol w:w="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27"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项目</w:t>
            </w:r>
          </w:p>
        </w:tc>
        <w:tc>
          <w:tcPr>
            <w:tcW w:w="315"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合计 </w:t>
            </w:r>
          </w:p>
        </w:tc>
        <w:tc>
          <w:tcPr>
            <w:tcW w:w="315"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2025年 </w:t>
            </w:r>
          </w:p>
        </w:tc>
        <w:tc>
          <w:tcPr>
            <w:tcW w:w="315"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2026年 </w:t>
            </w:r>
          </w:p>
        </w:tc>
        <w:tc>
          <w:tcPr>
            <w:tcW w:w="315"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2027年 </w:t>
            </w:r>
          </w:p>
        </w:tc>
        <w:tc>
          <w:tcPr>
            <w:tcW w:w="315"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2028年 </w:t>
            </w:r>
          </w:p>
        </w:tc>
        <w:tc>
          <w:tcPr>
            <w:tcW w:w="299"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2029年 </w:t>
            </w:r>
          </w:p>
        </w:tc>
        <w:tc>
          <w:tcPr>
            <w:tcW w:w="299"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2030年 </w:t>
            </w:r>
          </w:p>
        </w:tc>
        <w:tc>
          <w:tcPr>
            <w:tcW w:w="299"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2031年 </w:t>
            </w:r>
          </w:p>
        </w:tc>
        <w:tc>
          <w:tcPr>
            <w:tcW w:w="299"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2032年 </w:t>
            </w:r>
          </w:p>
        </w:tc>
        <w:tc>
          <w:tcPr>
            <w:tcW w:w="299"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2033年 </w:t>
            </w:r>
          </w:p>
        </w:tc>
        <w:tc>
          <w:tcPr>
            <w:tcW w:w="299"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2034年 </w:t>
            </w:r>
          </w:p>
        </w:tc>
        <w:tc>
          <w:tcPr>
            <w:tcW w:w="299"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2035年 </w:t>
            </w:r>
          </w:p>
        </w:tc>
        <w:tc>
          <w:tcPr>
            <w:tcW w:w="299"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2036年 </w:t>
            </w:r>
          </w:p>
        </w:tc>
        <w:tc>
          <w:tcPr>
            <w:tcW w:w="299" w:type="pct"/>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2037年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经营活动产生的现金净流量</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654,594.17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434,234.74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4,251.62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4,771.96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5,075.90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5,379.84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6,171.06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6,171.06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6,171.06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6,483.44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一、项目运营期收入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704,533.63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435,316.36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5,380.03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6,002.09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6,355.15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6,708.22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7,562.02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7,562.02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7,562.02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7,940.12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（一）项目收入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680,935.58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434,897.65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4,933.40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5,503.82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5,827.58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6,151.33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6,921.52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6,921.52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6,921.52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7,267.60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1、土地出让财政计提后返还收入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430,272.59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430,272.59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2、停车位收入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31,592.73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533.39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568.95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634.73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672.07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709.41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854.31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854.31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854.31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897.02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3、充电桩服务费收入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59,370.24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758.75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809.33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902.91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956.02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1,009.13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1,412.79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1,412.79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1,412.79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1,483.43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4、广告位收入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38,574.52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805.05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858.72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958.00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1,014.36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1,070.71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1,124.25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1,124.25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1,124.25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1,180.46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5、配套服务设施租赁收入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76,577.26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1,598.16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1,704.70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1,901.81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2,013.68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2,125.55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2,231.83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2,231.83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2,231.83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2,343.42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6、配套服务设施自营收入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44,548.25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929.72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991.70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1,106.36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1,171.44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1,236.52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1,298.35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1,298.35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1,298.35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1,363.27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（二）收到的税费</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23,598.03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418.71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446.63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498.27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527.58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556.89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640.50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640.50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640.50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672.52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b/>
                <w:bCs/>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1、增值税</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23,598.03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418.71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446.63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498.27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527.58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556.89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640.50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640.50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640.50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672.52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b/>
                <w:bCs/>
                <w:i w:val="0"/>
                <w:iCs w:val="0"/>
                <w:color w:val="000000"/>
                <w:kern w:val="0"/>
                <w:sz w:val="13"/>
                <w:szCs w:val="13"/>
                <w:u w:val="none"/>
                <w:lang w:val="en-US" w:eastAsia="zh-CN" w:bidi="ar"/>
              </w:rPr>
              <w:t>二、项目运营成本</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49,939.46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1,081.62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1,128.41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1,230.13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1,279.25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1,328.38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1,390.96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1,390.96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1,390.96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1,456.68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（一）经营成本</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35,789.69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832.92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863.91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936.03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968.57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1,001.11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1,047.56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1,047.56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1,047.56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1,096.32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1、人员工资</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8,309.33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216.60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216.60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227.43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227.43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227.43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238.80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238.80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238.80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250.74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2、水电能源</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1,470.68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38.34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38.34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40.25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40.25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40.25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42.27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42.27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42.27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44.38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3、其他管理成本</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1,567.80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40.87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40.87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42.91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42.91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42.91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45.06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45.06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45.06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47.31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4、维修维护成本</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2,167.75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5、配套服务设施自营成本</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22,274.12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464.86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495.85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553.18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585.72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618.26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649.17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649.17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649.17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681.63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（二）支付的各项税费</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14,149.77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248.70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264.50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294.09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310.68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327.26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343.41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343.41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343.41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360.36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1、增值税</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1,751.77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39.66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41.52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45.33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47.29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49.24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51.48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51.48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51.48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53.84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2、税金及附加</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10,016.31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209.04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222.98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248.76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263.39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278.02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291.92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291.92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291.92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306.52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3、企业所得税</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2,381.69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投资活动产生的现金净流量</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-491,670.00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-126,430.00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-123,900.00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-121,400.00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-119,940.00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一、投资活动产生的现金流入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二、投资活动产生的现金流出</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491,670.00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126,430.00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123,900.00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121,400.00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119,940.00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（一）建设投资</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491,670.00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126,430.00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123,900.00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121,400.00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119,940.00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融资活动产生的现金净流量</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-64,830.00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126,430.00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123,900.00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121,400.00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119,940.00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一、融资活动产生的现金流入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513,000.00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128,250.00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128,250.00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128,250.00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（一）项目资本金流入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183,000.00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58,250.00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28,250.00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28,250.00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（二）发行债券融资流入</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330,000.00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70,000.00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100,000.00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100,000.00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60,000.00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二、融资活动产生的现金流出</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577,830.00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1,820.00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4,350.00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6,850.00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8,310.00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（一）偿还专项债券本金</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330,000.00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（二）支付专项债券利息</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247,500.00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1,750.00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4,250.00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6,750.00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0"/>
                <w:szCs w:val="10"/>
                <w:u w:val="none"/>
              </w:rPr>
            </w:pPr>
            <w:r>
              <w:rPr>
                <w:rFonts w:hint="default" w:ascii="仿宋_GB2312" w:hAnsi="宋体" w:eastAsia="仿宋_GB2312" w:cs="仿宋_GB2312"/>
                <w:i w:val="0"/>
                <w:iCs w:val="0"/>
                <w:color w:val="000000"/>
                <w:kern w:val="0"/>
                <w:sz w:val="13"/>
                <w:szCs w:val="13"/>
                <w:u w:val="none"/>
                <w:lang w:val="en-US" w:eastAsia="zh-CN" w:bidi="ar"/>
              </w:rPr>
              <w:t>（三）支付专项债券发行费</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330.00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100.00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60.00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0"/>
                <w:szCs w:val="10"/>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kern w:val="0"/>
                <w:sz w:val="10"/>
                <w:szCs w:val="10"/>
                <w:u w:val="none"/>
                <w:lang w:val="en-US" w:eastAsia="zh-CN" w:bidi="ar"/>
              </w:rPr>
            </w:pPr>
            <w:r>
              <w:rPr>
                <w:rFonts w:hint="default" w:ascii="仿宋_GB2312" w:hAnsi="宋体" w:eastAsia="仿宋_GB2312" w:cs="仿宋_GB2312"/>
                <w:i w:val="0"/>
                <w:iCs w:val="0"/>
                <w:color w:val="000000"/>
                <w:kern w:val="0"/>
                <w:sz w:val="13"/>
                <w:szCs w:val="13"/>
                <w:u w:val="none"/>
                <w:lang w:val="en-US" w:eastAsia="zh-CN" w:bidi="ar"/>
              </w:rPr>
              <w:t>四、期末现金增加</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98,094.17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425,984.74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-3,998.38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-3,478.04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-3,174.10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-2,870.16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-2,078.94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-2,078.94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-2,078.94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-1,766.56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27"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kern w:val="0"/>
                <w:sz w:val="10"/>
                <w:szCs w:val="10"/>
                <w:u w:val="none"/>
                <w:lang w:val="en-US" w:eastAsia="zh-CN" w:bidi="ar"/>
              </w:rPr>
            </w:pPr>
            <w:r>
              <w:rPr>
                <w:rFonts w:hint="default" w:ascii="仿宋_GB2312" w:hAnsi="宋体" w:eastAsia="仿宋_GB2312" w:cs="仿宋_GB2312"/>
                <w:i w:val="0"/>
                <w:iCs w:val="0"/>
                <w:color w:val="000000"/>
                <w:kern w:val="0"/>
                <w:sz w:val="13"/>
                <w:szCs w:val="13"/>
                <w:u w:val="none"/>
                <w:lang w:val="en-US" w:eastAsia="zh-CN" w:bidi="ar"/>
              </w:rPr>
              <w:t>五、累计盈余资金</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315"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425,984.74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421,986.36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418,508.32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415,334.22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412,464.06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410,385.12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408,306.18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406,227.24 </w:t>
            </w:r>
          </w:p>
        </w:tc>
        <w:tc>
          <w:tcPr>
            <w:tcW w:w="299" w:type="pct"/>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0"/>
                <w:szCs w:val="10"/>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404,460.68 </w:t>
            </w:r>
          </w:p>
        </w:tc>
      </w:tr>
    </w:tbl>
    <w:p>
      <w:pPr>
        <w:pStyle w:val="4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Times New Roman" w:hAnsi="Times New Roman" w:eastAsia="仿宋" w:cs="Times New Roman"/>
          <w:b/>
          <w:bCs/>
          <w:sz w:val="28"/>
          <w:szCs w:val="40"/>
        </w:rPr>
        <w:sectPr>
          <w:headerReference r:id="rId5" w:type="default"/>
          <w:pgSz w:w="16838" w:h="11906" w:orient="landscape"/>
          <w:pgMar w:top="1440" w:right="567" w:bottom="1440" w:left="567" w:header="851" w:footer="992" w:gutter="0"/>
          <w:pgNumType w:fmt="decimal"/>
          <w:cols w:space="720" w:num="1"/>
          <w:docGrid w:type="lines" w:linePitch="381" w:charSpace="0"/>
        </w:sectPr>
      </w:pPr>
    </w:p>
    <w:p>
      <w:pPr>
        <w:pStyle w:val="4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Times New Roman" w:hAnsi="Times New Roman" w:eastAsia="仿宋" w:cs="Times New Roman"/>
          <w:b/>
          <w:bCs/>
          <w:sz w:val="28"/>
          <w:szCs w:val="40"/>
        </w:rPr>
      </w:pPr>
      <w:r>
        <w:rPr>
          <w:rFonts w:ascii="Times New Roman" w:hAnsi="Times New Roman" w:eastAsia="仿宋" w:cs="Times New Roman"/>
          <w:b/>
          <w:bCs/>
          <w:sz w:val="28"/>
          <w:szCs w:val="40"/>
        </w:rPr>
        <w:t>资金平衡测算表</w:t>
      </w:r>
      <w:r>
        <w:rPr>
          <w:rFonts w:hint="eastAsia" w:ascii="Times New Roman" w:hAnsi="Times New Roman" w:eastAsia="仿宋" w:cs="Times New Roman"/>
          <w:b/>
          <w:bCs/>
          <w:sz w:val="28"/>
          <w:szCs w:val="40"/>
          <w:lang w:val="en-US" w:eastAsia="zh-CN"/>
        </w:rPr>
        <w:t>-续表1</w:t>
      </w:r>
      <w:r>
        <w:rPr>
          <w:rFonts w:ascii="Times New Roman" w:hAnsi="Times New Roman" w:eastAsia="仿宋" w:cs="Times New Roman"/>
          <w:b/>
          <w:bCs/>
          <w:sz w:val="28"/>
          <w:szCs w:val="40"/>
        </w:rPr>
        <w:t>（单位：万元）</w:t>
      </w:r>
    </w:p>
    <w:tbl>
      <w:tblPr>
        <w:tblStyle w:val="3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32"/>
        <w:gridCol w:w="1150"/>
        <w:gridCol w:w="1093"/>
        <w:gridCol w:w="1093"/>
        <w:gridCol w:w="1094"/>
        <w:gridCol w:w="1094"/>
        <w:gridCol w:w="1094"/>
        <w:gridCol w:w="1094"/>
        <w:gridCol w:w="1094"/>
        <w:gridCol w:w="1094"/>
        <w:gridCol w:w="1094"/>
        <w:gridCol w:w="1094"/>
        <w:gridCol w:w="10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732"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项目</w:t>
            </w:r>
          </w:p>
        </w:tc>
        <w:tc>
          <w:tcPr>
            <w:tcW w:w="1150"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合计 </w:t>
            </w:r>
          </w:p>
        </w:tc>
        <w:tc>
          <w:tcPr>
            <w:tcW w:w="1093"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2038年 </w:t>
            </w:r>
          </w:p>
        </w:tc>
        <w:tc>
          <w:tcPr>
            <w:tcW w:w="1093"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2039年 </w:t>
            </w:r>
          </w:p>
        </w:tc>
        <w:tc>
          <w:tcPr>
            <w:tcW w:w="109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2040年 </w:t>
            </w:r>
          </w:p>
        </w:tc>
        <w:tc>
          <w:tcPr>
            <w:tcW w:w="109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2041年 </w:t>
            </w:r>
          </w:p>
        </w:tc>
        <w:tc>
          <w:tcPr>
            <w:tcW w:w="109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2042年 </w:t>
            </w:r>
          </w:p>
        </w:tc>
        <w:tc>
          <w:tcPr>
            <w:tcW w:w="109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2043年 </w:t>
            </w:r>
          </w:p>
        </w:tc>
        <w:tc>
          <w:tcPr>
            <w:tcW w:w="109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2044年 </w:t>
            </w:r>
          </w:p>
        </w:tc>
        <w:tc>
          <w:tcPr>
            <w:tcW w:w="109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2045年 </w:t>
            </w:r>
          </w:p>
        </w:tc>
        <w:tc>
          <w:tcPr>
            <w:tcW w:w="109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2046年 </w:t>
            </w:r>
          </w:p>
        </w:tc>
        <w:tc>
          <w:tcPr>
            <w:tcW w:w="109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2047年 </w:t>
            </w:r>
          </w:p>
        </w:tc>
        <w:tc>
          <w:tcPr>
            <w:tcW w:w="109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 xml:space="preserve"> 2048年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经营活动产生的现金净流量</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654,594.17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6,483.44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7,195.37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7,558.97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7,558.97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7,558.97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7,940.75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7,940.75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7,940.75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8,341.61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8,341.61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8,341.61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一、项目运营期收入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704,533.63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7,940.12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8,652.05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9,084.66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9,084.66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9,084.66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9,538.89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9,538.89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9,538.89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10,015.83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10,015.83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10,015.83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（一）项目收入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680,935.58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7,267.60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7,901.69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8,296.78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8,296.78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8,296.78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8,711.62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8,711.62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8,711.62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9,147.20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9,147.20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9,147.20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1、土地出让财政计提后返还收入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430,272.59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2、停车位收入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31,592.73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897.02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1,011.92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1,062.52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1,062.52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1,062.52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1,115.64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1,115.64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1,115.64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1,171.42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1,171.42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1,171.42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3、充电桩服务费收入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59,370.24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1,483.43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2,002.63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2,102.76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2,102.76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2,102.76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2,207.90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2,207.90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2,207.90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2,318.29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2,318.29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2,318.29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4、广告位收入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38,574.52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1,180.46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1,180.46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1,239.48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1,239.48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1,239.48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1,301.46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1,301.46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1,301.46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1,366.53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1,366.53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1,366.53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5、配套服务设施租赁收入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76,577.26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2,343.42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2,343.42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2,460.59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2,460.59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2,460.59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2,583.62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2,583.62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2,583.62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2,712.80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2,712.80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2,712.80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6、配套服务设施自营收入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44,548.25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1,363.27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1,363.27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1,431.43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1,431.43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1,431.43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1,503.00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1,503.00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1,503.00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1,578.15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1,578.15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1,578.15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（二）收到的税费</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23,598.03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672.52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750.36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787.88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787.88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787.88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827.27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827.27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827.27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868.63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868.63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868.63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b/>
                <w:bCs/>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1、增值税</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23,598.03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672.52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750.36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787.88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787.88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787.88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827.27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827.27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827.27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868.63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868.63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868.63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b/>
                <w:bCs/>
                <w:i w:val="0"/>
                <w:iCs w:val="0"/>
                <w:color w:val="000000"/>
                <w:kern w:val="0"/>
                <w:sz w:val="13"/>
                <w:szCs w:val="13"/>
                <w:u w:val="none"/>
                <w:lang w:val="en-US" w:eastAsia="zh-CN" w:bidi="ar"/>
              </w:rPr>
              <w:t>二、项目运营成本</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49,939.46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1,456.68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1,456.68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1,525.69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1,525.69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1,525.69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1,598.14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1,598.14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1,598.14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1,674.22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1,674.22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b/>
                <w:bCs/>
                <w:i w:val="0"/>
                <w:iCs w:val="0"/>
                <w:color w:val="000000"/>
                <w:kern w:val="0"/>
                <w:sz w:val="13"/>
                <w:szCs w:val="13"/>
                <w:u w:val="none"/>
                <w:lang w:val="en-US" w:eastAsia="zh-CN" w:bidi="ar"/>
              </w:rPr>
              <w:t xml:space="preserve"> 1,674.22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（一）经营成本</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35,789.69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1,096.32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1,096.32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1,147.53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1,147.53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1,147.53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1,201.29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1,201.29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1,201.29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1,257.74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1,257.74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1,257.74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1、人员工资</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8,309.33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250.74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250.74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263.28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263.28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263.28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276.44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276.44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276.44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290.26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290.26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290.26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2、水电能源</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1,470.68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44.38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44.38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46.60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46.60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46.60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48.93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48.93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48.93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51.37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51.37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51.37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3、其他管理成本</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1,567.80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47.31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47.31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49.68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49.68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49.68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52.16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52.16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52.16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54.77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54.77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54.77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4、维修维护成本</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2,167.75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72.26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5、配套服务设施自营成本</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22,274.12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681.63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681.63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715.72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715.72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715.72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751.50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751.50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751.50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789.08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789.08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789.08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（二）支付的各项税费</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14,149.77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360.36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360.36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378.16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378.16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378.16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396.85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396.85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396.85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416.48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416.48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416.48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1、增值税</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1,751.77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53.84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53.84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56.32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56.32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56.32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58.92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58.92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58.92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61.64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61.64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61.64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2、税金及附加</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10,016.31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306.52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306.52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321.85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321.85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321.85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337.94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337.94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337.94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354.83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354.83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354.83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3、企业所得税</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2,381.69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投资活动产生的现金净流量</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-491,670.00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一、投资活动产生的现金流入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二、投资活动产生的现金流出</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491,670.00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（一）建设投资</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491,670.00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融资活动产生的现金净流量</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-64,830.00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一、融资活动产生的现金流入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513,000.00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（一）项目资本金流入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183,000.00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（二）发行债券融资流入</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330,000.00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二、融资活动产生的现金流出</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577,830.00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（一）偿还专项债券本金</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330,000.00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（二）支付专项债券利息</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247,500.00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3"/>
                <w:szCs w:val="13"/>
                <w:u w:val="none"/>
              </w:rPr>
            </w:pPr>
            <w:r>
              <w:rPr>
                <w:rFonts w:hint="default" w:ascii="仿宋_GB2312" w:hAnsi="宋体" w:eastAsia="仿宋_GB2312" w:cs="仿宋_GB2312"/>
                <w:i w:val="0"/>
                <w:iCs w:val="0"/>
                <w:color w:val="000000"/>
                <w:kern w:val="0"/>
                <w:sz w:val="13"/>
                <w:szCs w:val="13"/>
                <w:u w:val="none"/>
                <w:lang w:val="en-US" w:eastAsia="zh-CN" w:bidi="ar"/>
              </w:rPr>
              <w:t>（三）支付专项债券发行费</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kern w:val="0"/>
                <w:sz w:val="13"/>
                <w:szCs w:val="13"/>
                <w:u w:val="none"/>
                <w:lang w:val="en-US" w:eastAsia="zh-CN" w:bidi="ar"/>
              </w:rPr>
              <w:t xml:space="preserve"> 330.00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kern w:val="0"/>
                <w:sz w:val="13"/>
                <w:szCs w:val="13"/>
                <w:u w:val="none"/>
                <w:lang w:val="en-US" w:eastAsia="zh-CN" w:bidi="ar"/>
              </w:rPr>
            </w:pPr>
            <w:r>
              <w:rPr>
                <w:rFonts w:hint="default" w:ascii="仿宋_GB2312" w:hAnsi="宋体" w:eastAsia="仿宋_GB2312" w:cs="仿宋_GB2312"/>
                <w:i w:val="0"/>
                <w:iCs w:val="0"/>
                <w:color w:val="000000"/>
                <w:kern w:val="0"/>
                <w:sz w:val="13"/>
                <w:szCs w:val="13"/>
                <w:u w:val="none"/>
                <w:lang w:val="en-US" w:eastAsia="zh-CN" w:bidi="ar"/>
              </w:rPr>
              <w:t>四、期末现金增加</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98,094.17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-1,766.56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-1,054.63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-691.03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-691.03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-691.03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-309.25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-309.25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-309.25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91.61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91.61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91.61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732"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kern w:val="0"/>
                <w:sz w:val="13"/>
                <w:szCs w:val="13"/>
                <w:u w:val="none"/>
                <w:lang w:val="en-US" w:eastAsia="zh-CN" w:bidi="ar"/>
              </w:rPr>
            </w:pPr>
            <w:r>
              <w:rPr>
                <w:rFonts w:hint="default" w:ascii="仿宋_GB2312" w:hAnsi="宋体" w:eastAsia="仿宋_GB2312" w:cs="仿宋_GB2312"/>
                <w:i w:val="0"/>
                <w:iCs w:val="0"/>
                <w:color w:val="000000"/>
                <w:kern w:val="0"/>
                <w:sz w:val="13"/>
                <w:szCs w:val="13"/>
                <w:u w:val="none"/>
                <w:lang w:val="en-US" w:eastAsia="zh-CN" w:bidi="ar"/>
              </w:rPr>
              <w:t>五、累计盈余资金</w:t>
            </w:r>
          </w:p>
        </w:tc>
        <w:tc>
          <w:tcPr>
            <w:tcW w:w="1150"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402,694.12 </w:t>
            </w:r>
          </w:p>
        </w:tc>
        <w:tc>
          <w:tcPr>
            <w:tcW w:w="1093"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401,639.49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400,948.46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400,257.43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399,566.40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399,257.15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398,947.90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398,638.65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398,730.26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398,821.87 </w:t>
            </w:r>
          </w:p>
        </w:tc>
        <w:tc>
          <w:tcPr>
            <w:tcW w:w="109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 xml:space="preserve"> 398,913.48 </w:t>
            </w:r>
          </w:p>
        </w:tc>
      </w:tr>
    </w:tbl>
    <w:p>
      <w:pPr>
        <w:bidi w:val="0"/>
        <w:jc w:val="center"/>
      </w:pPr>
    </w:p>
    <w:p>
      <w:pPr>
        <w:pStyle w:val="4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Times New Roman" w:hAnsi="Times New Roman" w:eastAsia="仿宋" w:cs="Times New Roman"/>
          <w:b/>
          <w:bCs/>
          <w:sz w:val="28"/>
          <w:szCs w:val="40"/>
        </w:rPr>
      </w:pPr>
      <w:r>
        <w:rPr>
          <w:rFonts w:ascii="Times New Roman" w:hAnsi="Times New Roman" w:eastAsia="仿宋" w:cs="Times New Roman"/>
          <w:b/>
          <w:bCs/>
          <w:sz w:val="28"/>
          <w:szCs w:val="40"/>
        </w:rPr>
        <w:t>资金平衡测算表</w:t>
      </w:r>
      <w:r>
        <w:rPr>
          <w:rFonts w:hint="eastAsia" w:ascii="Times New Roman" w:hAnsi="Times New Roman" w:eastAsia="仿宋" w:cs="Times New Roman"/>
          <w:b/>
          <w:bCs/>
          <w:sz w:val="28"/>
          <w:szCs w:val="40"/>
          <w:lang w:val="en-US" w:eastAsia="zh-CN"/>
        </w:rPr>
        <w:t>-续表2</w:t>
      </w:r>
      <w:r>
        <w:rPr>
          <w:rFonts w:ascii="Times New Roman" w:hAnsi="Times New Roman" w:eastAsia="仿宋" w:cs="Times New Roman"/>
          <w:b/>
          <w:bCs/>
          <w:sz w:val="28"/>
          <w:szCs w:val="40"/>
        </w:rPr>
        <w:t>（单位：万元）</w:t>
      </w:r>
    </w:p>
    <w:p>
      <w:pPr>
        <w:pStyle w:val="4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Times New Roman" w:hAnsi="Times New Roman" w:eastAsia="仿宋" w:cs="Times New Roman"/>
          <w:b/>
          <w:bCs/>
          <w:sz w:val="28"/>
          <w:szCs w:val="40"/>
        </w:rPr>
      </w:pPr>
    </w:p>
    <w:tbl>
      <w:tblPr>
        <w:tblStyle w:val="3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14"/>
        <w:gridCol w:w="1231"/>
        <w:gridCol w:w="1167"/>
        <w:gridCol w:w="1167"/>
        <w:gridCol w:w="1167"/>
        <w:gridCol w:w="1167"/>
        <w:gridCol w:w="1167"/>
        <w:gridCol w:w="1167"/>
        <w:gridCol w:w="1167"/>
        <w:gridCol w:w="1231"/>
        <w:gridCol w:w="1231"/>
        <w:gridCol w:w="11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914"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项目</w:t>
            </w:r>
          </w:p>
        </w:tc>
        <w:tc>
          <w:tcPr>
            <w:tcW w:w="1231"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合计 </w:t>
            </w:r>
          </w:p>
        </w:tc>
        <w:tc>
          <w:tcPr>
            <w:tcW w:w="1167"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2049年 </w:t>
            </w:r>
          </w:p>
        </w:tc>
        <w:tc>
          <w:tcPr>
            <w:tcW w:w="1167"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2050年 </w:t>
            </w:r>
          </w:p>
        </w:tc>
        <w:tc>
          <w:tcPr>
            <w:tcW w:w="1167"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2051年 </w:t>
            </w:r>
          </w:p>
        </w:tc>
        <w:tc>
          <w:tcPr>
            <w:tcW w:w="1167"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2052年 </w:t>
            </w:r>
          </w:p>
        </w:tc>
        <w:tc>
          <w:tcPr>
            <w:tcW w:w="1167"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2053年 </w:t>
            </w:r>
          </w:p>
        </w:tc>
        <w:tc>
          <w:tcPr>
            <w:tcW w:w="1167"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2054年 </w:t>
            </w:r>
          </w:p>
        </w:tc>
        <w:tc>
          <w:tcPr>
            <w:tcW w:w="1167"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2055年 </w:t>
            </w:r>
          </w:p>
        </w:tc>
        <w:tc>
          <w:tcPr>
            <w:tcW w:w="1231"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2056年 </w:t>
            </w:r>
          </w:p>
        </w:tc>
        <w:tc>
          <w:tcPr>
            <w:tcW w:w="1231"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2057年 </w:t>
            </w:r>
          </w:p>
        </w:tc>
        <w:tc>
          <w:tcPr>
            <w:tcW w:w="1138" w:type="dxa"/>
            <w:tcBorders>
              <w:top w:val="single" w:color="00B0F0" w:sz="4" w:space="0"/>
              <w:left w:val="single" w:color="00B0F0" w:sz="4" w:space="0"/>
              <w:bottom w:val="single" w:color="00B0F0" w:sz="4" w:space="0"/>
              <w:right w:val="single" w:color="00B0F0" w:sz="4" w:space="0"/>
            </w:tcBorders>
            <w:shd w:val="clear" w:color="auto" w:fill="9BC2E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 xml:space="preserve"> 2058年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经营活动产生的现金净流量</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654,594.17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8,762.52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8,762.52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8,762.52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9,204.48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9,204.48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9,204.48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9,668.53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9,668.53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9,668.53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7,774.10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一、项目运营期收入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704,533.63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10,516.62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10,516.62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10,516.62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11,042.46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11,042.46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11,042.46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11,594.58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11,594.58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11,594.58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12,174.31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（一）项目收入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680,935.58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9,604.56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9,604.56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9,604.56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10,084.79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10,084.79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10,084.79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10,589.02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10,589.02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10,589.02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11,118.48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1、土地出让财政计提后返还收入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430,272.59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2、停车位收入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31,592.73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1,229.99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1,229.99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1,229.99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1,291.49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1,291.49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1,291.49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1,356.07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1,356.07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1,356.07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1,423.87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3、充电桩服务费收入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59,370.24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2,434.21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2,434.21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2,434.21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2,555.92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2,555.92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2,555.92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2,683.71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2,683.71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2,683.71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2,817.90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4、广告位收入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38,574.52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1,434.86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1,434.86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1,434.86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1,506.60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1,506.60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1,506.60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1,581.93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1,581.93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1,581.93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1,661.02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5、配套服务设施租赁收入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76,577.26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2,848.44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2,848.44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2,848.44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2,990.86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2,990.86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2,990.86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3,140.41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3,140.41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3,140.41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3,297.43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6、配套服务设施自营收入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44,548.25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1,657.06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1,657.06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1,657.06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1,739.91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1,739.91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1,739.91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1,826.91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1,826.91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1,826.91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1,918.25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（二）收到的税费</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23,598.03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912.07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912.07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912.07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957.67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957.67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957.67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1,005.55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1,005.55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1,005.55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1,055.83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b/>
                <w:bCs/>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1、增值税</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23,598.03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912.07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912.07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912.07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957.67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957.67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957.67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1,005.55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1,005.55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1,005.55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1,055.83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b/>
                <w:bCs/>
                <w:i w:val="0"/>
                <w:iCs w:val="0"/>
                <w:color w:val="000000"/>
                <w:kern w:val="0"/>
                <w:sz w:val="15"/>
                <w:szCs w:val="15"/>
                <w:u w:val="none"/>
                <w:lang w:val="en-US" w:eastAsia="zh-CN" w:bidi="ar"/>
              </w:rPr>
              <w:t>二、项目运营成本</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49,939.46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1,754.10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1,754.10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1,754.10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1,837.98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1,837.98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1,837.98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1,926.05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1,926.05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1,926.05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 xml:space="preserve"> 4,400.21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（一）经营成本</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35,789.69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1,317.01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1,317.01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1,317.01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1,379.25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1,379.25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1,379.25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1,444.60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1,444.60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1,444.60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1,513.22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1、人员工资</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8,309.33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304.78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304.78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304.78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320.02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320.02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320.02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336.02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336.02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336.02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352.82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2、水电能源</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1,470.68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53.94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53.94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53.94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56.64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56.64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56.64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59.47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59.47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59.47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62.45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3、其他管理成本</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1,567.80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57.51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57.51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57.51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60.38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60.38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60.38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63.40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63.40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63.40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66.57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4、维修维护成本</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2,167.75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72.26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5、配套服务设施自营成本</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22,274.12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828.53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828.53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828.53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869.96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869.96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869.96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913.45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913.45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913.45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959.13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（二）支付的各项税费</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14,149.77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437.09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437.09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437.09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458.72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458.72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458.72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481.44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481.44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481.44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2,886.99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1、增值税</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1,751.77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64.51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64.51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64.51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67.52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67.52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67.52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70.68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70.68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70.68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2、税金及附加</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10,016.31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372.58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372.58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372.58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391.21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391.21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391.21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410.77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410.77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410.77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431.30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3、企业所得税</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2,381.69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2,381.69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投资活动产生的现金净流量</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-491,670.00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一、投资活动产生的现金流入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二、投资活动产生的现金流出</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491,670.00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（一）建设投资</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491,670.00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融资活动产生的现金净流量</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-64,830.00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-76,500.00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-104,000.00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-101,500.00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一、融资活动产生的现金流入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513,000.00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（一）项目资本金流入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183,000.00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（二）发行债券融资流入</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330,000.00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二、融资活动产生的现金流出</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577,830.00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76,500.00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104,000.00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101,500.00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（一）偿还专项债券本金</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330,000.00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70,000.00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100,000.00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100,000.00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（二）支付专项债券利息</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247,500.00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8,250.00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6,500.00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4,000.00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1,500.00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sz w:val="15"/>
                <w:szCs w:val="15"/>
                <w:u w:val="none"/>
              </w:rPr>
            </w:pPr>
            <w:r>
              <w:rPr>
                <w:rFonts w:hint="default" w:ascii="仿宋_GB2312" w:hAnsi="宋体" w:eastAsia="仿宋_GB2312" w:cs="仿宋_GB2312"/>
                <w:i w:val="0"/>
                <w:iCs w:val="0"/>
                <w:color w:val="000000"/>
                <w:kern w:val="0"/>
                <w:sz w:val="15"/>
                <w:szCs w:val="15"/>
                <w:u w:val="none"/>
                <w:lang w:val="en-US" w:eastAsia="zh-CN" w:bidi="ar"/>
              </w:rPr>
              <w:t>（三）支付专项债券发行费</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 330.00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kern w:val="0"/>
                <w:sz w:val="15"/>
                <w:szCs w:val="15"/>
                <w:u w:val="none"/>
                <w:lang w:val="en-US" w:eastAsia="zh-CN" w:bidi="ar"/>
              </w:rPr>
            </w:pPr>
            <w:r>
              <w:rPr>
                <w:rFonts w:hint="default" w:ascii="仿宋_GB2312" w:hAnsi="宋体" w:eastAsia="仿宋_GB2312" w:cs="仿宋_GB2312"/>
                <w:i w:val="0"/>
                <w:iCs w:val="0"/>
                <w:color w:val="000000"/>
                <w:kern w:val="0"/>
                <w:sz w:val="15"/>
                <w:szCs w:val="15"/>
                <w:u w:val="none"/>
                <w:lang w:val="en-US" w:eastAsia="zh-CN" w:bidi="ar"/>
              </w:rPr>
              <w:t>四、期末现金增加</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98,094.17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512.52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512.52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512.52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954.48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954.48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954.48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-66,831.47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-94,331.47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-91,831.47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-52,225.90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4"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left"/>
              <w:textAlignment w:val="center"/>
              <w:rPr>
                <w:rFonts w:hint="default" w:ascii="仿宋_GB2312" w:hAnsi="宋体" w:eastAsia="仿宋_GB2312" w:cs="仿宋_GB2312"/>
                <w:i w:val="0"/>
                <w:iCs w:val="0"/>
                <w:color w:val="000000"/>
                <w:kern w:val="0"/>
                <w:sz w:val="15"/>
                <w:szCs w:val="15"/>
                <w:u w:val="none"/>
                <w:lang w:val="en-US" w:eastAsia="zh-CN" w:bidi="ar"/>
              </w:rPr>
            </w:pPr>
            <w:r>
              <w:rPr>
                <w:rFonts w:hint="default" w:ascii="仿宋_GB2312" w:hAnsi="宋体" w:eastAsia="仿宋_GB2312" w:cs="仿宋_GB2312"/>
                <w:i w:val="0"/>
                <w:iCs w:val="0"/>
                <w:color w:val="000000"/>
                <w:kern w:val="0"/>
                <w:sz w:val="15"/>
                <w:szCs w:val="15"/>
                <w:u w:val="none"/>
                <w:lang w:val="en-US" w:eastAsia="zh-CN" w:bidi="ar"/>
              </w:rPr>
              <w:t>五、累计盈余资金</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399,426.00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399,938.52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400,451.04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401,405.52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402,360.00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403,314.48 </w:t>
            </w:r>
          </w:p>
        </w:tc>
        <w:tc>
          <w:tcPr>
            <w:tcW w:w="1167"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336,483.01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242,151.54 </w:t>
            </w:r>
          </w:p>
        </w:tc>
        <w:tc>
          <w:tcPr>
            <w:tcW w:w="1231"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150,320.07 </w:t>
            </w:r>
          </w:p>
        </w:tc>
        <w:tc>
          <w:tcPr>
            <w:tcW w:w="1138" w:type="dxa"/>
            <w:tcBorders>
              <w:top w:val="single" w:color="00B0F0" w:sz="4" w:space="0"/>
              <w:left w:val="single" w:color="00B0F0" w:sz="4" w:space="0"/>
              <w:bottom w:val="single" w:color="00B0F0" w:sz="4" w:space="0"/>
              <w:right w:val="single" w:color="00B0F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default" w:ascii="Times New Roman" w:hAnsi="Times New Roman" w:eastAsia="宋体" w:cs="Times New Roman"/>
                <w:i w:val="0"/>
                <w:iCs w:val="0"/>
                <w:color w:val="000000"/>
                <w:kern w:val="0"/>
                <w:sz w:val="15"/>
                <w:szCs w:val="15"/>
                <w:u w:val="none"/>
                <w:lang w:val="en-US" w:eastAsia="zh-CN" w:bidi="ar"/>
              </w:rPr>
              <w:t xml:space="preserve"> 98,094.17 </w:t>
            </w:r>
          </w:p>
        </w:tc>
      </w:tr>
    </w:tbl>
    <w:p>
      <w:pPr>
        <w:pStyle w:val="4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Times New Roman" w:hAnsi="Times New Roman" w:eastAsia="仿宋" w:cs="Times New Roman"/>
          <w:b/>
          <w:bCs/>
          <w:sz w:val="28"/>
          <w:szCs w:val="40"/>
        </w:rPr>
        <w:sectPr>
          <w:pgSz w:w="16838" w:h="11906" w:orient="landscape"/>
          <w:pgMar w:top="1440" w:right="567" w:bottom="1440" w:left="567" w:header="851" w:footer="992" w:gutter="0"/>
          <w:pgNumType w:fmt="decimal"/>
          <w:cols w:space="720" w:num="1"/>
          <w:docGrid w:type="lines" w:linePitch="381" w:charSpace="0"/>
        </w:sectPr>
      </w:pPr>
    </w:p>
    <w:p>
      <w:pPr>
        <w:spacing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五、项目绩效目标</w:t>
      </w:r>
    </w:p>
    <w:p>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1、项目总体建设目标</w:t>
      </w:r>
    </w:p>
    <w:p>
      <w:pPr>
        <w:pStyle w:val="50"/>
        <w:ind w:firstLine="560"/>
        <w:rPr>
          <w:rFonts w:hint="eastAsia" w:cs="Times New Roman"/>
        </w:rPr>
      </w:pPr>
      <w:r>
        <w:rPr>
          <w:rFonts w:hint="eastAsia" w:cs="Times New Roman"/>
        </w:rPr>
        <w:t>目标1：</w:t>
      </w:r>
      <w:r>
        <w:rPr>
          <w:rFonts w:hint="eastAsia"/>
          <w:highlight w:val="none"/>
          <w:lang w:eastAsia="zh-CN"/>
        </w:rPr>
        <w:t>成都高新未来科技城城中村改造项目主要位于未来科技城智造示范区、国际科教城两个片区，改造实施范围约6822亩，共涉及1054户，总人数3899人。智造示范区片区四至范围为未来科技城草池街道、玉成街道，绛云大道以东，绛云三街以南，东边界以西，绛西河以北。国际科教城片区四至范围为未来科技城福田街道，绛云大道以东公园大街以南，渔堰4组以西，科技城南大街以北。项目建设内容主要包括筹集安置房4010套，总建筑面积33</w:t>
      </w:r>
      <w:r>
        <w:rPr>
          <w:rFonts w:hint="default"/>
          <w:highlight w:val="none"/>
          <w:lang w:val="en-US" w:eastAsia="zh-CN"/>
        </w:rPr>
        <w:t>.</w:t>
      </w:r>
      <w:r>
        <w:rPr>
          <w:rFonts w:hint="eastAsia"/>
          <w:highlight w:val="none"/>
          <w:lang w:eastAsia="zh-CN"/>
        </w:rPr>
        <w:t>24</w:t>
      </w:r>
      <w:r>
        <w:rPr>
          <w:rFonts w:hint="eastAsia"/>
          <w:highlight w:val="none"/>
          <w:lang w:val="en-US" w:eastAsia="zh-CN"/>
        </w:rPr>
        <w:t>万</w:t>
      </w:r>
      <w:r>
        <w:rPr>
          <w:rFonts w:hint="eastAsia"/>
          <w:highlight w:val="none"/>
          <w:lang w:eastAsia="zh-CN"/>
        </w:rPr>
        <w:t>平方米；新建城中村配套道路约17.3</w:t>
      </w:r>
      <w:r>
        <w:rPr>
          <w:rFonts w:hint="default"/>
          <w:highlight w:val="none"/>
          <w:lang w:val="en-US" w:eastAsia="zh-CN"/>
        </w:rPr>
        <w:t>6</w:t>
      </w:r>
      <w:r>
        <w:rPr>
          <w:rFonts w:hint="eastAsia"/>
          <w:highlight w:val="none"/>
          <w:lang w:eastAsia="zh-CN"/>
        </w:rPr>
        <w:t>公里；新建公共配套服务设施3处，总建筑面积42747平方米</w:t>
      </w:r>
      <w:r>
        <w:rPr>
          <w:rFonts w:hint="eastAsia"/>
          <w:highlight w:val="none"/>
          <w:lang w:val="en-US" w:eastAsia="zh-CN"/>
        </w:rPr>
        <w:t>；</w:t>
      </w:r>
      <w:r>
        <w:rPr>
          <w:rFonts w:hint="eastAsia"/>
          <w:highlight w:val="none"/>
          <w:lang w:eastAsia="zh-CN"/>
        </w:rPr>
        <w:t>及其他基础设施建设。</w:t>
      </w:r>
    </w:p>
    <w:p>
      <w:pPr>
        <w:pStyle w:val="50"/>
        <w:ind w:firstLine="560"/>
        <w:rPr>
          <w:rFonts w:hint="eastAsia" w:cs="Times New Roman"/>
        </w:rPr>
      </w:pPr>
      <w:r>
        <w:rPr>
          <w:rFonts w:hint="eastAsia" w:cs="Times New Roman"/>
        </w:rPr>
        <w:t>目标2：在</w:t>
      </w:r>
      <w:r>
        <w:rPr>
          <w:rFonts w:hint="eastAsia" w:ascii="Times New Roman" w:hAnsi="Times New Roman" w:cs="Times New Roman"/>
          <w:highlight w:val="none"/>
          <w:lang w:val="en-US" w:eastAsia="zh-CN"/>
        </w:rPr>
        <w:t>202</w:t>
      </w:r>
      <w:r>
        <w:rPr>
          <w:rFonts w:hint="eastAsia" w:cs="Times New Roman"/>
          <w:highlight w:val="none"/>
          <w:lang w:val="en-US" w:eastAsia="zh-CN"/>
        </w:rPr>
        <w:t>9</w:t>
      </w:r>
      <w:r>
        <w:rPr>
          <w:rFonts w:hint="eastAsia" w:ascii="Times New Roman" w:hAnsi="Times New Roman" w:cs="Times New Roman"/>
          <w:highlight w:val="none"/>
          <w:lang w:val="en-US" w:eastAsia="zh-CN"/>
        </w:rPr>
        <w:t>年5月</w:t>
      </w:r>
      <w:r>
        <w:rPr>
          <w:rFonts w:hint="eastAsia" w:cs="Times New Roman"/>
        </w:rPr>
        <w:t>完成项目竣工验收。</w:t>
      </w:r>
    </w:p>
    <w:p>
      <w:pPr>
        <w:pStyle w:val="50"/>
        <w:ind w:firstLine="560"/>
        <w:rPr>
          <w:rFonts w:hint="eastAsia" w:cs="Times New Roman"/>
        </w:rPr>
      </w:pPr>
      <w:r>
        <w:rPr>
          <w:rFonts w:hint="eastAsia" w:cs="Times New Roman"/>
        </w:rPr>
        <w:t>目标3：债券存续期内实现年度收支平衡和总体收支平衡。</w:t>
      </w:r>
    </w:p>
    <w:p>
      <w:pPr>
        <w:pStyle w:val="50"/>
        <w:ind w:firstLine="560"/>
        <w:rPr>
          <w:rFonts w:cs="Times New Roman"/>
        </w:rPr>
      </w:pPr>
      <w:r>
        <w:rPr>
          <w:rFonts w:hint="eastAsia" w:cs="Times New Roman"/>
        </w:rPr>
        <w:t>目标4：</w:t>
      </w:r>
      <w:r>
        <w:rPr>
          <w:rFonts w:hint="eastAsia" w:cs="Times New Roman"/>
          <w:lang w:val="en-US" w:eastAsia="zh-CN"/>
        </w:rPr>
        <w:t>带动区域协同发展，提升区域经济发展水平和基础设施质量</w:t>
      </w:r>
      <w:r>
        <w:rPr>
          <w:rFonts w:cs="Times New Roman"/>
        </w:rPr>
        <w:t>。</w:t>
      </w:r>
    </w:p>
    <w:p>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2、202</w:t>
      </w:r>
      <w:r>
        <w:rPr>
          <w:rFonts w:hint="eastAsia" w:ascii="Times New Roman" w:hAnsi="Times New Roman" w:eastAsia="仿宋" w:cs="Times New Roman"/>
          <w:sz w:val="28"/>
          <w:szCs w:val="28"/>
          <w:lang w:val="en-US" w:eastAsia="zh-CN"/>
        </w:rPr>
        <w:t>5</w:t>
      </w:r>
      <w:r>
        <w:rPr>
          <w:rFonts w:ascii="Times New Roman" w:hAnsi="Times New Roman" w:eastAsia="仿宋" w:cs="Times New Roman"/>
          <w:sz w:val="28"/>
          <w:szCs w:val="28"/>
        </w:rPr>
        <w:t>年度目标</w:t>
      </w:r>
    </w:p>
    <w:p>
      <w:pPr>
        <w:pStyle w:val="50"/>
        <w:ind w:firstLine="560"/>
        <w:rPr>
          <w:rFonts w:hint="eastAsia" w:cs="Times New Roman"/>
        </w:rPr>
      </w:pPr>
      <w:r>
        <w:rPr>
          <w:rFonts w:hint="eastAsia" w:cs="Times New Roman"/>
        </w:rPr>
        <w:t>目标1：完成</w:t>
      </w:r>
      <w:r>
        <w:rPr>
          <w:rFonts w:hint="eastAsia" w:cs="Times New Roman"/>
          <w:lang w:val="en-US" w:eastAsia="zh-CN"/>
        </w:rPr>
        <w:t>计划投资</w:t>
      </w:r>
      <w:r>
        <w:rPr>
          <w:rFonts w:hint="eastAsia" w:cs="Times New Roman"/>
        </w:rPr>
        <w:t>的</w:t>
      </w:r>
      <w:r>
        <w:rPr>
          <w:rFonts w:hint="eastAsia" w:cs="Times New Roman"/>
          <w:lang w:val="en-US" w:eastAsia="zh-CN"/>
        </w:rPr>
        <w:t>25</w:t>
      </w:r>
      <w:r>
        <w:rPr>
          <w:rFonts w:hint="eastAsia" w:cs="Times New Roman"/>
        </w:rPr>
        <w:t>%。</w:t>
      </w:r>
    </w:p>
    <w:p>
      <w:pPr>
        <w:pStyle w:val="50"/>
        <w:ind w:firstLine="562"/>
        <w:rPr>
          <w:rFonts w:cs="Times New Roman"/>
          <w:b/>
        </w:rPr>
      </w:pPr>
      <w:r>
        <w:rPr>
          <w:rFonts w:cs="Times New Roman"/>
          <w:b/>
        </w:rPr>
        <w:t>3、质量指标</w:t>
      </w:r>
    </w:p>
    <w:p>
      <w:pPr>
        <w:pStyle w:val="50"/>
        <w:ind w:firstLine="560"/>
        <w:rPr>
          <w:rFonts w:cs="Times New Roman"/>
        </w:rPr>
      </w:pPr>
      <w:r>
        <w:rPr>
          <w:rFonts w:cs="Times New Roman"/>
        </w:rPr>
        <w:t>指标1：验收合格率≥95%；</w:t>
      </w:r>
    </w:p>
    <w:p>
      <w:pPr>
        <w:pStyle w:val="50"/>
        <w:ind w:firstLine="560"/>
        <w:rPr>
          <w:rFonts w:cs="Times New Roman"/>
        </w:rPr>
      </w:pPr>
      <w:r>
        <w:rPr>
          <w:rFonts w:cs="Times New Roman"/>
        </w:rPr>
        <w:t>指标2：项目设计方案变更率≤5%。</w:t>
      </w:r>
    </w:p>
    <w:p>
      <w:pPr>
        <w:pStyle w:val="50"/>
        <w:ind w:firstLine="562"/>
        <w:rPr>
          <w:rFonts w:cs="Times New Roman"/>
          <w:b/>
        </w:rPr>
      </w:pPr>
      <w:r>
        <w:rPr>
          <w:rFonts w:cs="Times New Roman"/>
          <w:b/>
        </w:rPr>
        <w:t>4、经济效益指标</w:t>
      </w:r>
    </w:p>
    <w:p>
      <w:pPr>
        <w:pStyle w:val="50"/>
        <w:ind w:firstLine="560"/>
        <w:rPr>
          <w:rFonts w:cs="Times New Roman"/>
        </w:rPr>
      </w:pPr>
      <w:r>
        <w:rPr>
          <w:rFonts w:cs="Times New Roman"/>
        </w:rPr>
        <w:t>指标1：项目总收入</w:t>
      </w:r>
      <w:r>
        <w:rPr>
          <w:rFonts w:hint="eastAsia" w:cs="Times New Roman"/>
          <w:lang w:val="en-US" w:eastAsia="zh-CN"/>
        </w:rPr>
        <w:t>总收入敏感性：±5%</w:t>
      </w:r>
      <w:r>
        <w:rPr>
          <w:rFonts w:cs="Times New Roman"/>
        </w:rPr>
        <w:t>；</w:t>
      </w:r>
    </w:p>
    <w:p>
      <w:pPr>
        <w:pStyle w:val="50"/>
        <w:ind w:firstLine="560"/>
        <w:rPr>
          <w:rFonts w:cs="Times New Roman"/>
        </w:rPr>
      </w:pPr>
      <w:r>
        <w:rPr>
          <w:rFonts w:cs="Times New Roman"/>
        </w:rPr>
        <w:t>指标2：</w:t>
      </w:r>
      <w:r>
        <w:rPr>
          <w:rFonts w:hint="eastAsia" w:cs="Times New Roman"/>
          <w:lang w:val="en-US" w:eastAsia="zh-CN"/>
        </w:rPr>
        <w:t>按时足额还本付息</w:t>
      </w:r>
      <w:r>
        <w:rPr>
          <w:rFonts w:cs="Times New Roman"/>
        </w:rPr>
        <w:t>。</w:t>
      </w:r>
    </w:p>
    <w:p>
      <w:pPr>
        <w:pStyle w:val="50"/>
        <w:keepNext/>
        <w:ind w:firstLine="562"/>
        <w:rPr>
          <w:rFonts w:cs="Times New Roman"/>
          <w:b/>
        </w:rPr>
      </w:pPr>
      <w:r>
        <w:rPr>
          <w:rFonts w:cs="Times New Roman"/>
          <w:b/>
        </w:rPr>
        <w:t>5、社会效益指标</w:t>
      </w:r>
    </w:p>
    <w:p>
      <w:pPr>
        <w:pStyle w:val="50"/>
        <w:ind w:firstLine="560"/>
        <w:rPr>
          <w:rFonts w:cs="Times New Roman"/>
        </w:rPr>
      </w:pPr>
      <w:r>
        <w:rPr>
          <w:rFonts w:cs="Times New Roman"/>
        </w:rPr>
        <w:t>指标1：</w:t>
      </w:r>
      <w:r>
        <w:rPr>
          <w:rFonts w:hint="eastAsia" w:cs="Times New Roman"/>
          <w:lang w:val="en-US" w:eastAsia="zh-CN"/>
        </w:rPr>
        <w:t>改善基础设施条件</w:t>
      </w:r>
      <w:r>
        <w:rPr>
          <w:rFonts w:cs="Times New Roman"/>
        </w:rPr>
        <w:t>；</w:t>
      </w:r>
    </w:p>
    <w:p>
      <w:pPr>
        <w:pStyle w:val="50"/>
        <w:ind w:firstLine="560"/>
        <w:rPr>
          <w:rFonts w:cs="Times New Roman"/>
        </w:rPr>
      </w:pPr>
      <w:r>
        <w:rPr>
          <w:rFonts w:cs="Times New Roman"/>
        </w:rPr>
        <w:t>指标2：</w:t>
      </w:r>
      <w:r>
        <w:rPr>
          <w:rFonts w:hint="eastAsia" w:cs="Times New Roman"/>
          <w:lang w:val="en-US" w:eastAsia="zh-CN"/>
        </w:rPr>
        <w:t>带动沿线群众增收</w:t>
      </w:r>
      <w:r>
        <w:rPr>
          <w:rFonts w:cs="Times New Roman"/>
        </w:rPr>
        <w:t>。</w:t>
      </w:r>
    </w:p>
    <w:p>
      <w:pPr>
        <w:pStyle w:val="50"/>
        <w:ind w:firstLine="562"/>
        <w:rPr>
          <w:rFonts w:cs="Times New Roman"/>
          <w:b/>
        </w:rPr>
      </w:pPr>
      <w:r>
        <w:rPr>
          <w:rFonts w:cs="Times New Roman"/>
          <w:b/>
        </w:rPr>
        <w:t>6、生态效益指标</w:t>
      </w:r>
    </w:p>
    <w:p>
      <w:pPr>
        <w:pStyle w:val="50"/>
        <w:ind w:firstLine="560"/>
        <w:rPr>
          <w:rFonts w:cs="Times New Roman"/>
        </w:rPr>
      </w:pPr>
      <w:r>
        <w:rPr>
          <w:rFonts w:cs="Times New Roman"/>
        </w:rPr>
        <w:t>指标1：</w:t>
      </w:r>
      <w:r>
        <w:rPr>
          <w:rFonts w:hint="eastAsia" w:cs="Times New Roman"/>
          <w:lang w:val="en-US" w:eastAsia="zh-CN"/>
        </w:rPr>
        <w:t>促进片区环境改善</w:t>
      </w:r>
      <w:r>
        <w:rPr>
          <w:rFonts w:cs="Times New Roman"/>
        </w:rPr>
        <w:t>。</w:t>
      </w:r>
    </w:p>
    <w:p>
      <w:pPr>
        <w:pStyle w:val="50"/>
        <w:ind w:firstLine="562"/>
        <w:rPr>
          <w:rFonts w:cs="Times New Roman"/>
          <w:b/>
        </w:rPr>
      </w:pPr>
      <w:r>
        <w:rPr>
          <w:rFonts w:cs="Times New Roman"/>
          <w:b/>
        </w:rPr>
        <w:t>7、可持续影响指标</w:t>
      </w:r>
    </w:p>
    <w:p>
      <w:pPr>
        <w:pStyle w:val="50"/>
        <w:ind w:firstLine="560"/>
        <w:rPr>
          <w:rFonts w:cs="Times New Roman"/>
        </w:rPr>
      </w:pPr>
      <w:r>
        <w:rPr>
          <w:rFonts w:cs="Times New Roman"/>
        </w:rPr>
        <w:t>指标1：运营期限</w:t>
      </w:r>
      <w:r>
        <w:rPr>
          <w:rFonts w:hint="eastAsia" w:ascii="宋体" w:hAnsi="宋体" w:eastAsia="宋体" w:cs="宋体"/>
        </w:rPr>
        <w:t>≧</w:t>
      </w:r>
      <w:r>
        <w:rPr>
          <w:rFonts w:hint="eastAsia" w:ascii="宋体" w:hAnsi="宋体" w:eastAsia="宋体" w:cs="宋体"/>
          <w:lang w:val="en-US" w:eastAsia="zh-CN"/>
        </w:rPr>
        <w:t>30</w:t>
      </w:r>
      <w:r>
        <w:rPr>
          <w:rFonts w:cs="Times New Roman"/>
        </w:rPr>
        <w:t>年；</w:t>
      </w:r>
    </w:p>
    <w:p>
      <w:pPr>
        <w:pStyle w:val="50"/>
        <w:ind w:firstLine="560"/>
        <w:rPr>
          <w:rFonts w:cs="Times New Roman"/>
        </w:rPr>
      </w:pPr>
      <w:r>
        <w:rPr>
          <w:rFonts w:cs="Times New Roman"/>
        </w:rPr>
        <w:t>指标2：推动区域全面协调发展</w:t>
      </w:r>
      <w:r>
        <w:rPr>
          <w:rFonts w:hint="eastAsia" w:cs="Times New Roman"/>
          <w:lang w:eastAsia="zh-CN"/>
        </w:rPr>
        <w:t>—</w:t>
      </w:r>
      <w:r>
        <w:rPr>
          <w:rFonts w:cs="Times New Roman"/>
        </w:rPr>
        <w:t>达成预期目标。</w:t>
      </w:r>
    </w:p>
    <w:p>
      <w:pPr>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六、潜在影响项目的风险评估</w:t>
      </w:r>
    </w:p>
    <w:p>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85" w:name="_Toc15343"/>
      <w:bookmarkStart w:id="86" w:name="_Toc522211123"/>
      <w:r>
        <w:rPr>
          <w:rFonts w:ascii="Times New Roman" w:hAnsi="Times New Roman" w:eastAsia="仿宋" w:cs="Times New Roman"/>
          <w:sz w:val="28"/>
          <w:szCs w:val="28"/>
        </w:rPr>
        <w:t>1.经营风险</w:t>
      </w:r>
      <w:bookmarkEnd w:id="85"/>
      <w:bookmarkEnd w:id="86"/>
    </w:p>
    <w:p>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风险识别：经营风险是指生产经营的不确定性带来的风险。若项目投入运营后的收入未能达到预测值，将影响项目整体收益，对债券还本付息产生影响。</w:t>
      </w:r>
    </w:p>
    <w:p>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风险控制措施：要求项目管理单位密切关注各项收入支撑情况，根据实际情况调整收入策略，保证还本付息资金。</w:t>
      </w:r>
      <w:bookmarkStart w:id="87" w:name="_Toc4440"/>
      <w:bookmarkStart w:id="88" w:name="_Toc522211124"/>
    </w:p>
    <w:p>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2.市场风险</w:t>
      </w:r>
      <w:bookmarkEnd w:id="87"/>
      <w:bookmarkEnd w:id="88"/>
    </w:p>
    <w:p>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风险控制措施：要求项目单位合理安排债券发行金额和债券期限，做好债券的期限配比、还款计划和资金准备。</w:t>
      </w:r>
    </w:p>
    <w:p>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89" w:name="_Toc15747"/>
      <w:bookmarkStart w:id="90" w:name="_Toc522211125"/>
      <w:r>
        <w:rPr>
          <w:rFonts w:ascii="Times New Roman" w:hAnsi="Times New Roman" w:eastAsia="仿宋" w:cs="Times New Roman"/>
          <w:sz w:val="28"/>
          <w:szCs w:val="28"/>
        </w:rPr>
        <w:t>3.财务风险</w:t>
      </w:r>
      <w:bookmarkEnd w:id="89"/>
      <w:bookmarkEnd w:id="90"/>
    </w:p>
    <w:p>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风险控制措施：项目可行性研究报告编制过程中，在测算项目总投资时已考虑相关风险。同时，在项目建设过程中，加强项目施工预算管理、招标及合同管理，尽可能控制建设成本。</w:t>
      </w:r>
    </w:p>
    <w:p>
      <w:pPr>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七、还款保障情况</w:t>
      </w:r>
    </w:p>
    <w:p>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pPr>
        <w:keepNext/>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八、</w:t>
      </w:r>
      <w:r>
        <w:rPr>
          <w:rFonts w:hint="eastAsia" w:ascii="Times New Roman" w:hAnsi="Times New Roman" w:eastAsia="仿宋" w:cs="Times New Roman"/>
          <w:b/>
          <w:bCs/>
          <w:sz w:val="32"/>
          <w:szCs w:val="32"/>
          <w:lang w:val="en-US" w:eastAsia="zh-CN"/>
        </w:rPr>
        <w:t>行业</w:t>
      </w:r>
      <w:r>
        <w:rPr>
          <w:rFonts w:ascii="Times New Roman" w:hAnsi="Times New Roman" w:eastAsia="仿宋" w:cs="Times New Roman"/>
          <w:b/>
          <w:bCs/>
          <w:sz w:val="32"/>
          <w:szCs w:val="32"/>
        </w:rPr>
        <w:t>主管部门和项目单位职责</w:t>
      </w:r>
    </w:p>
    <w:p>
      <w:pPr>
        <w:spacing w:line="360" w:lineRule="auto"/>
        <w:ind w:firstLine="560" w:firstLineChars="200"/>
        <w:rPr>
          <w:rFonts w:hint="default" w:ascii="Times New Roman" w:hAnsi="Times New Roman" w:eastAsia="仿宋" w:cs="Times New Roman"/>
          <w:sz w:val="28"/>
          <w:szCs w:val="28"/>
          <w:lang w:val="en-US"/>
        </w:rPr>
      </w:pPr>
      <w:r>
        <w:rPr>
          <w:rFonts w:ascii="Times New Roman" w:hAnsi="Times New Roman" w:eastAsia="仿宋" w:cs="Times New Roman"/>
          <w:sz w:val="28"/>
          <w:szCs w:val="28"/>
        </w:rPr>
        <w:t>本项目的</w:t>
      </w:r>
      <w:r>
        <w:rPr>
          <w:rFonts w:hint="eastAsia" w:ascii="Times New Roman" w:hAnsi="Times New Roman" w:eastAsia="仿宋" w:cs="Times New Roman"/>
          <w:sz w:val="28"/>
          <w:szCs w:val="28"/>
          <w:lang w:val="en-US" w:eastAsia="zh-CN"/>
        </w:rPr>
        <w:t>行业</w:t>
      </w:r>
      <w:r>
        <w:rPr>
          <w:rFonts w:ascii="Times New Roman" w:hAnsi="Times New Roman" w:eastAsia="仿宋" w:cs="Times New Roman"/>
          <w:sz w:val="28"/>
          <w:szCs w:val="28"/>
        </w:rPr>
        <w:t>主管部门为</w:t>
      </w:r>
      <w:r>
        <w:rPr>
          <w:rFonts w:hint="eastAsia" w:ascii="Times New Roman" w:hAnsi="Times New Roman" w:eastAsia="仿宋" w:cs="Times New Roman"/>
          <w:sz w:val="28"/>
          <w:szCs w:val="28"/>
          <w:lang w:eastAsia="zh-CN"/>
        </w:rPr>
        <w:t>成都高新技术产业开发区公园城市建设局，</w:t>
      </w:r>
      <w:r>
        <w:rPr>
          <w:rFonts w:hint="eastAsia" w:ascii="Times New Roman" w:hAnsi="Times New Roman" w:eastAsia="仿宋" w:cs="Times New Roman"/>
          <w:sz w:val="28"/>
          <w:szCs w:val="28"/>
          <w:lang w:val="en-US" w:eastAsia="zh-CN"/>
        </w:rPr>
        <w:t>其职责为有效监督和指导项目业主单位按照有关要求切实履行专项债券资金管理、项目建设、项目运营、收入管理、债券还本付息、资产管理，做好专项债券年度项目库与政府债务管理系统的衔接，配合做好专项债券发行各项准备工作，加强对项目实施情况的监控，并统筹协调相关部门保障项目建设进度，组织项目单位及时将专项债券项目对应的收入足额缴入国库，保障专项债券本息偿付。</w:t>
      </w:r>
    </w:p>
    <w:p>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项目业主单位为成都高新未来科技城建设投资有限公司，其职责为提出专项债券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w:t>
      </w:r>
    </w:p>
    <w:p>
      <w:pPr>
        <w:spacing w:before="312" w:beforeLines="100" w:line="360" w:lineRule="auto"/>
        <w:outlineLvl w:val="0"/>
        <w:rPr>
          <w:rFonts w:ascii="Times New Roman" w:hAnsi="Times New Roman" w:eastAsia="仿宋" w:cs="Times New Roman"/>
          <w:b/>
          <w:bCs/>
          <w:sz w:val="32"/>
          <w:szCs w:val="32"/>
          <w:highlight w:val="none"/>
        </w:rPr>
      </w:pPr>
      <w:r>
        <w:rPr>
          <w:rFonts w:ascii="Times New Roman" w:hAnsi="Times New Roman" w:eastAsia="仿宋" w:cs="Times New Roman"/>
          <w:b/>
          <w:bCs/>
          <w:sz w:val="32"/>
          <w:szCs w:val="32"/>
          <w:highlight w:val="none"/>
        </w:rPr>
        <w:t>九、补充说明</w:t>
      </w:r>
    </w:p>
    <w:p>
      <w:pPr>
        <w:shd w:val="clea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根据发行计划及额度安排</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rPr>
        <w:t>此项目202</w:t>
      </w:r>
      <w:r>
        <w:rPr>
          <w:rFonts w:hint="eastAsia" w:ascii="Times New Roman" w:hAnsi="Times New Roman" w:eastAsia="仿宋" w:cs="Times New Roman"/>
          <w:sz w:val="28"/>
          <w:szCs w:val="28"/>
          <w:lang w:val="en-US" w:eastAsia="zh-CN"/>
        </w:rPr>
        <w:t>5</w:t>
      </w:r>
      <w:r>
        <w:rPr>
          <w:rFonts w:hint="eastAsia" w:ascii="Times New Roman" w:hAnsi="Times New Roman" w:eastAsia="仿宋" w:cs="Times New Roman"/>
          <w:sz w:val="28"/>
          <w:szCs w:val="28"/>
        </w:rPr>
        <w:t>年拟申请发行</w:t>
      </w:r>
      <w:r>
        <w:rPr>
          <w:rFonts w:hint="eastAsia" w:ascii="Times New Roman" w:hAnsi="Times New Roman" w:eastAsia="仿宋" w:cs="Times New Roman"/>
          <w:sz w:val="28"/>
          <w:szCs w:val="28"/>
          <w:lang w:val="en-US" w:eastAsia="zh-CN"/>
        </w:rPr>
        <w:t>70,000.00</w:t>
      </w:r>
      <w:r>
        <w:rPr>
          <w:rFonts w:hint="eastAsia" w:ascii="Times New Roman" w:hAnsi="Times New Roman" w:eastAsia="仿宋" w:cs="Times New Roman"/>
          <w:sz w:val="28"/>
          <w:szCs w:val="28"/>
        </w:rPr>
        <w:t>万元，本次拟发行</w:t>
      </w:r>
      <w:r>
        <w:rPr>
          <w:rFonts w:hint="eastAsia" w:ascii="Times New Roman" w:hAnsi="Times New Roman" w:eastAsia="仿宋" w:cs="Times New Roman"/>
          <w:sz w:val="28"/>
          <w:szCs w:val="28"/>
          <w:lang w:val="en-US" w:eastAsia="zh-CN"/>
        </w:rPr>
        <w:t>45,000.00</w:t>
      </w:r>
      <w:r>
        <w:rPr>
          <w:rFonts w:hint="eastAsia" w:ascii="Times New Roman" w:hAnsi="Times New Roman" w:eastAsia="仿宋" w:cs="Times New Roman"/>
          <w:sz w:val="28"/>
          <w:szCs w:val="28"/>
        </w:rPr>
        <w:t>万元，期限</w:t>
      </w:r>
      <w:r>
        <w:rPr>
          <w:rFonts w:hint="eastAsia" w:ascii="Times New Roman" w:hAnsi="Times New Roman" w:eastAsia="仿宋" w:cs="Times New Roman"/>
          <w:sz w:val="28"/>
          <w:szCs w:val="28"/>
          <w:lang w:val="en-US" w:eastAsia="zh-CN"/>
        </w:rPr>
        <w:t>30</w:t>
      </w:r>
      <w:r>
        <w:rPr>
          <w:rFonts w:hint="eastAsia" w:ascii="Times New Roman" w:hAnsi="Times New Roman" w:eastAsia="仿宋" w:cs="Times New Roman"/>
          <w:sz w:val="28"/>
          <w:szCs w:val="28"/>
        </w:rPr>
        <w:t>年</w:t>
      </w:r>
      <w:r>
        <w:rPr>
          <w:rFonts w:ascii="Times New Roman" w:hAnsi="Times New Roman" w:eastAsia="仿宋" w:cs="Times New Roman"/>
          <w:sz w:val="28"/>
          <w:szCs w:val="28"/>
        </w:rPr>
        <w:t>。</w:t>
      </w:r>
      <w:bookmarkStart w:id="91" w:name="_GoBack"/>
      <w:bookmarkEnd w:id="91"/>
    </w:p>
    <w:sectPr>
      <w:type w:val="continuous"/>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9EB40F-E91F-467D-BCCD-4027533E0F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EB0097EC-F0EA-431B-9FE0-A4FCC5A1FC39}"/>
  </w:font>
  <w:font w:name="华文楷体">
    <w:panose1 w:val="02010600040101010101"/>
    <w:charset w:val="86"/>
    <w:family w:val="auto"/>
    <w:pitch w:val="default"/>
    <w:sig w:usb0="00000287" w:usb1="080F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6B69F32C-2EDC-4D27-81CD-CAC3BCBE90D7}"/>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方正仿宋简体">
    <w:panose1 w:val="02000000000000000000"/>
    <w:charset w:val="86"/>
    <w:family w:val="script"/>
    <w:pitch w:val="default"/>
    <w:sig w:usb0="A00002BF" w:usb1="184F6CFA" w:usb2="00000012" w:usb3="00000000" w:csb0="00040001" w:csb1="00000000"/>
  </w:font>
  <w:font w:name="Univers 45 Light">
    <w:altName w:val="Segoe Print"/>
    <w:panose1 w:val="00000000000000000000"/>
    <w:charset w:val="00"/>
    <w:family w:val="swiss"/>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MingLiU">
    <w:panose1 w:val="02020509000000000000"/>
    <w:charset w:val="88"/>
    <w:family w:val="modern"/>
    <w:pitch w:val="default"/>
    <w:sig w:usb0="A00002FF" w:usb1="28CFFCFA" w:usb2="00000016" w:usb3="00000000" w:csb0="00100001" w:csb1="00000000"/>
  </w:font>
  <w:font w:name="方正小标宋简体">
    <w:panose1 w:val="02010601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tabs>
        <w:tab w:val="center" w:pos="4150"/>
        <w:tab w:val="right" w:pos="8300"/>
        <w:tab w:val="clear" w:pos="4153"/>
        <w:tab w:val="clear" w:pos="8306"/>
      </w:tabs>
    </w:pPr>
  </w:p>
  <w:p>
    <w:pPr>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76"/>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3FA016BB"/>
    <w:rsid w:val="000114C2"/>
    <w:rsid w:val="00044301"/>
    <w:rsid w:val="000465B0"/>
    <w:rsid w:val="00071244"/>
    <w:rsid w:val="000C245E"/>
    <w:rsid w:val="000C5DA1"/>
    <w:rsid w:val="000F7897"/>
    <w:rsid w:val="00107CAD"/>
    <w:rsid w:val="00121F6C"/>
    <w:rsid w:val="00123274"/>
    <w:rsid w:val="00124450"/>
    <w:rsid w:val="00160D73"/>
    <w:rsid w:val="00182D5F"/>
    <w:rsid w:val="001A67DE"/>
    <w:rsid w:val="001B3C18"/>
    <w:rsid w:val="001D2C1C"/>
    <w:rsid w:val="001D34AD"/>
    <w:rsid w:val="001E0FAD"/>
    <w:rsid w:val="00216C56"/>
    <w:rsid w:val="00232F80"/>
    <w:rsid w:val="00233196"/>
    <w:rsid w:val="00245985"/>
    <w:rsid w:val="00272FF6"/>
    <w:rsid w:val="002B30DE"/>
    <w:rsid w:val="002B7608"/>
    <w:rsid w:val="002C3FC9"/>
    <w:rsid w:val="002D200F"/>
    <w:rsid w:val="002E5159"/>
    <w:rsid w:val="002E5284"/>
    <w:rsid w:val="003974F1"/>
    <w:rsid w:val="003E3DD2"/>
    <w:rsid w:val="00406D28"/>
    <w:rsid w:val="00412E05"/>
    <w:rsid w:val="00452005"/>
    <w:rsid w:val="00457034"/>
    <w:rsid w:val="00467789"/>
    <w:rsid w:val="00483936"/>
    <w:rsid w:val="00491725"/>
    <w:rsid w:val="004B4709"/>
    <w:rsid w:val="004C67A3"/>
    <w:rsid w:val="004D53B8"/>
    <w:rsid w:val="004E0F82"/>
    <w:rsid w:val="00515236"/>
    <w:rsid w:val="00550400"/>
    <w:rsid w:val="00575342"/>
    <w:rsid w:val="005A6360"/>
    <w:rsid w:val="005B61CE"/>
    <w:rsid w:val="005B6525"/>
    <w:rsid w:val="005C2704"/>
    <w:rsid w:val="005F0B05"/>
    <w:rsid w:val="005F50BE"/>
    <w:rsid w:val="00606E3E"/>
    <w:rsid w:val="006110FB"/>
    <w:rsid w:val="006211B8"/>
    <w:rsid w:val="00625775"/>
    <w:rsid w:val="00626397"/>
    <w:rsid w:val="006448C7"/>
    <w:rsid w:val="00652070"/>
    <w:rsid w:val="00687DFD"/>
    <w:rsid w:val="00694574"/>
    <w:rsid w:val="006B118F"/>
    <w:rsid w:val="00711929"/>
    <w:rsid w:val="0073204E"/>
    <w:rsid w:val="0079251C"/>
    <w:rsid w:val="008029AC"/>
    <w:rsid w:val="008253B2"/>
    <w:rsid w:val="008779F2"/>
    <w:rsid w:val="008A7100"/>
    <w:rsid w:val="008E7FA3"/>
    <w:rsid w:val="009203CF"/>
    <w:rsid w:val="0094442D"/>
    <w:rsid w:val="00944D2D"/>
    <w:rsid w:val="009730B2"/>
    <w:rsid w:val="00995930"/>
    <w:rsid w:val="009D3829"/>
    <w:rsid w:val="009D729D"/>
    <w:rsid w:val="00A570CB"/>
    <w:rsid w:val="00AE6B92"/>
    <w:rsid w:val="00B106BF"/>
    <w:rsid w:val="00B43416"/>
    <w:rsid w:val="00B501A8"/>
    <w:rsid w:val="00B72FEE"/>
    <w:rsid w:val="00B82ED2"/>
    <w:rsid w:val="00B87286"/>
    <w:rsid w:val="00B872D8"/>
    <w:rsid w:val="00B94789"/>
    <w:rsid w:val="00BB0315"/>
    <w:rsid w:val="00BF7BAD"/>
    <w:rsid w:val="00C27332"/>
    <w:rsid w:val="00C42416"/>
    <w:rsid w:val="00C62501"/>
    <w:rsid w:val="00C67FAE"/>
    <w:rsid w:val="00CF1234"/>
    <w:rsid w:val="00D27A7E"/>
    <w:rsid w:val="00D32CF1"/>
    <w:rsid w:val="00D47D9A"/>
    <w:rsid w:val="00DA0981"/>
    <w:rsid w:val="00DB57C6"/>
    <w:rsid w:val="00DC2579"/>
    <w:rsid w:val="00DF0A94"/>
    <w:rsid w:val="00E15413"/>
    <w:rsid w:val="00E2683E"/>
    <w:rsid w:val="00E32F0F"/>
    <w:rsid w:val="00E457C2"/>
    <w:rsid w:val="00E72C1B"/>
    <w:rsid w:val="00E82A28"/>
    <w:rsid w:val="00EE2EB8"/>
    <w:rsid w:val="00F07EF2"/>
    <w:rsid w:val="00F353CB"/>
    <w:rsid w:val="00F43DB7"/>
    <w:rsid w:val="00F5208A"/>
    <w:rsid w:val="00FD1008"/>
    <w:rsid w:val="016478F4"/>
    <w:rsid w:val="031F2043"/>
    <w:rsid w:val="071F0864"/>
    <w:rsid w:val="089B260D"/>
    <w:rsid w:val="09550CC1"/>
    <w:rsid w:val="09D55EEA"/>
    <w:rsid w:val="0A9E7CF1"/>
    <w:rsid w:val="0BC31F1C"/>
    <w:rsid w:val="0D03664E"/>
    <w:rsid w:val="0DA81872"/>
    <w:rsid w:val="0DE3245F"/>
    <w:rsid w:val="14863371"/>
    <w:rsid w:val="16377978"/>
    <w:rsid w:val="16BE3AB0"/>
    <w:rsid w:val="1825554A"/>
    <w:rsid w:val="19524380"/>
    <w:rsid w:val="195B607F"/>
    <w:rsid w:val="1A107534"/>
    <w:rsid w:val="1E5315D0"/>
    <w:rsid w:val="1F7252E7"/>
    <w:rsid w:val="21997D01"/>
    <w:rsid w:val="221819BC"/>
    <w:rsid w:val="23B7280F"/>
    <w:rsid w:val="241E2E4D"/>
    <w:rsid w:val="273E2FFE"/>
    <w:rsid w:val="2B0674C1"/>
    <w:rsid w:val="2B404E86"/>
    <w:rsid w:val="2E692241"/>
    <w:rsid w:val="2F0B154A"/>
    <w:rsid w:val="2FD00E6D"/>
    <w:rsid w:val="33DE722D"/>
    <w:rsid w:val="35834A35"/>
    <w:rsid w:val="361F7BDD"/>
    <w:rsid w:val="375548D2"/>
    <w:rsid w:val="388D1D0F"/>
    <w:rsid w:val="3AB42A96"/>
    <w:rsid w:val="3B0A4DAB"/>
    <w:rsid w:val="3C241E9D"/>
    <w:rsid w:val="3DDA6CB7"/>
    <w:rsid w:val="3E4C2D1F"/>
    <w:rsid w:val="3FA016BB"/>
    <w:rsid w:val="3FBF3121"/>
    <w:rsid w:val="3FE947AA"/>
    <w:rsid w:val="42E85458"/>
    <w:rsid w:val="43BB30E7"/>
    <w:rsid w:val="45654C8F"/>
    <w:rsid w:val="45F33215"/>
    <w:rsid w:val="46585B96"/>
    <w:rsid w:val="46F32B98"/>
    <w:rsid w:val="46FF7BD5"/>
    <w:rsid w:val="4D9F7B9D"/>
    <w:rsid w:val="52900446"/>
    <w:rsid w:val="54300F87"/>
    <w:rsid w:val="546155E5"/>
    <w:rsid w:val="55515659"/>
    <w:rsid w:val="56AC797B"/>
    <w:rsid w:val="5DEF17A5"/>
    <w:rsid w:val="617B03EF"/>
    <w:rsid w:val="624772E2"/>
    <w:rsid w:val="63ACCC5E"/>
    <w:rsid w:val="64E45C27"/>
    <w:rsid w:val="651C2EE6"/>
    <w:rsid w:val="667A754C"/>
    <w:rsid w:val="66C32BE9"/>
    <w:rsid w:val="679A19BD"/>
    <w:rsid w:val="68496314"/>
    <w:rsid w:val="696817BA"/>
    <w:rsid w:val="6AEB7832"/>
    <w:rsid w:val="6B2E643B"/>
    <w:rsid w:val="6C0503D3"/>
    <w:rsid w:val="70A46B2D"/>
    <w:rsid w:val="716442CB"/>
    <w:rsid w:val="718860E6"/>
    <w:rsid w:val="72A65155"/>
    <w:rsid w:val="74CE0D3F"/>
    <w:rsid w:val="74EC6556"/>
    <w:rsid w:val="761A519B"/>
    <w:rsid w:val="77090774"/>
    <w:rsid w:val="772B8904"/>
    <w:rsid w:val="77E15F71"/>
    <w:rsid w:val="79B7749D"/>
    <w:rsid w:val="7CBB3234"/>
    <w:rsid w:val="7DB4100B"/>
    <w:rsid w:val="7F1777C8"/>
    <w:rsid w:val="7F7B1492"/>
    <w:rsid w:val="7FA73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semiHidden="0" w:name="heading 2"/>
    <w:lsdException w:qFormat="1" w:uiPriority="1"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8"/>
    <w:qFormat/>
    <w:uiPriority w:val="1"/>
    <w:pPr>
      <w:tabs>
        <w:tab w:val="left" w:pos="0"/>
        <w:tab w:val="left" w:pos="3285"/>
      </w:tabs>
      <w:spacing w:before="10" w:after="10" w:line="360" w:lineRule="auto"/>
      <w:outlineLvl w:val="0"/>
    </w:pPr>
    <w:rPr>
      <w:rFonts w:ascii="Calibri" w:hAnsi="Calibri" w:eastAsia="宋体"/>
      <w:b/>
      <w:sz w:val="32"/>
    </w:rPr>
  </w:style>
  <w:style w:type="paragraph" w:styleId="3">
    <w:name w:val="heading 2"/>
    <w:basedOn w:val="1"/>
    <w:next w:val="1"/>
    <w:link w:val="55"/>
    <w:unhideWhenUsed/>
    <w:qFormat/>
    <w:uiPriority w:val="1"/>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7"/>
    <w:unhideWhenUsed/>
    <w:qFormat/>
    <w:uiPriority w:val="1"/>
    <w:pPr>
      <w:keepNext/>
      <w:keepLines/>
      <w:spacing w:before="260" w:after="260" w:line="416" w:lineRule="auto"/>
      <w:outlineLvl w:val="2"/>
    </w:pPr>
    <w:rPr>
      <w:b/>
      <w:bCs/>
      <w:sz w:val="32"/>
      <w:szCs w:val="32"/>
    </w:rPr>
  </w:style>
  <w:style w:type="paragraph" w:styleId="5">
    <w:name w:val="heading 4"/>
    <w:basedOn w:val="1"/>
    <w:next w:val="1"/>
    <w:link w:val="68"/>
    <w:qFormat/>
    <w:uiPriority w:val="0"/>
    <w:pPr>
      <w:keepNext/>
      <w:keepLines/>
      <w:spacing w:before="280" w:after="290" w:line="372" w:lineRule="auto"/>
      <w:outlineLvl w:val="3"/>
    </w:pPr>
    <w:rPr>
      <w:rFonts w:ascii="Arial" w:hAnsi="Arial" w:eastAsia="黑体"/>
      <w:b/>
      <w:sz w:val="28"/>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able of authorities"/>
    <w:basedOn w:val="1"/>
    <w:next w:val="1"/>
    <w:unhideWhenUsed/>
    <w:qFormat/>
    <w:uiPriority w:val="99"/>
    <w:pPr>
      <w:spacing w:line="360" w:lineRule="auto"/>
      <w:ind w:left="420" w:leftChars="200" w:firstLine="720" w:firstLineChars="200"/>
    </w:pPr>
    <w:rPr>
      <w:rFonts w:ascii="仿宋" w:hAnsi="仿宋" w:eastAsia="仿宋" w:cs="仿宋"/>
      <w:sz w:val="28"/>
    </w:rPr>
  </w:style>
  <w:style w:type="paragraph" w:styleId="8">
    <w:name w:val="Normal Indent"/>
    <w:basedOn w:val="1"/>
    <w:qFormat/>
    <w:uiPriority w:val="0"/>
    <w:pPr>
      <w:spacing w:line="360" w:lineRule="auto"/>
      <w:ind w:firstLine="420" w:firstLineChars="200"/>
    </w:pPr>
    <w:rPr>
      <w:rFonts w:eastAsia="仿宋"/>
      <w:sz w:val="28"/>
    </w:rPr>
  </w:style>
  <w:style w:type="paragraph" w:styleId="9">
    <w:name w:val="annotation text"/>
    <w:basedOn w:val="1"/>
    <w:link w:val="59"/>
    <w:qFormat/>
    <w:uiPriority w:val="0"/>
    <w:pPr>
      <w:spacing w:line="360" w:lineRule="auto"/>
      <w:ind w:firstLine="200" w:firstLineChars="200"/>
      <w:jc w:val="left"/>
    </w:pPr>
    <w:rPr>
      <w:rFonts w:eastAsia="仿宋"/>
      <w:sz w:val="28"/>
    </w:rPr>
  </w:style>
  <w:style w:type="paragraph" w:styleId="10">
    <w:name w:val="Salutation"/>
    <w:basedOn w:val="1"/>
    <w:next w:val="1"/>
    <w:link w:val="193"/>
    <w:qFormat/>
    <w:uiPriority w:val="99"/>
    <w:pPr>
      <w:spacing w:line="360" w:lineRule="auto"/>
      <w:ind w:firstLine="883" w:firstLineChars="200"/>
    </w:pPr>
    <w:rPr>
      <w:rFonts w:ascii="Times New Roman" w:hAnsi="Times New Roman" w:eastAsia="仿宋" w:cs="Calibri"/>
      <w:sz w:val="28"/>
      <w:szCs w:val="21"/>
    </w:rPr>
  </w:style>
  <w:style w:type="paragraph" w:styleId="11">
    <w:name w:val="Body Text"/>
    <w:basedOn w:val="1"/>
    <w:link w:val="56"/>
    <w:qFormat/>
    <w:uiPriority w:val="99"/>
    <w:pPr>
      <w:widowControl/>
      <w:adjustRightInd w:val="0"/>
      <w:snapToGrid w:val="0"/>
      <w:spacing w:before="150" w:after="150" w:line="264" w:lineRule="auto"/>
      <w:ind w:firstLine="567"/>
    </w:pPr>
    <w:rPr>
      <w:rFonts w:ascii="华文楷体" w:hAnsi="华文楷体" w:eastAsia="LF_Kai"/>
      <w:kern w:val="0"/>
      <w:sz w:val="24"/>
      <w:szCs w:val="20"/>
      <w:lang w:val="en-GB"/>
    </w:rPr>
  </w:style>
  <w:style w:type="paragraph" w:styleId="12">
    <w:name w:val="Body Text Indent"/>
    <w:basedOn w:val="1"/>
    <w:link w:val="60"/>
    <w:unhideWhenUsed/>
    <w:qFormat/>
    <w:uiPriority w:val="99"/>
    <w:pPr>
      <w:spacing w:after="120" w:line="360" w:lineRule="auto"/>
      <w:ind w:left="420" w:leftChars="200" w:firstLine="200" w:firstLineChars="200"/>
    </w:pPr>
    <w:rPr>
      <w:rFonts w:eastAsia="仿宋"/>
      <w:sz w:val="28"/>
    </w:rPr>
  </w:style>
  <w:style w:type="paragraph" w:styleId="13">
    <w:name w:val="Block Text"/>
    <w:basedOn w:val="1"/>
    <w:qFormat/>
    <w:uiPriority w:val="99"/>
    <w:pPr>
      <w:spacing w:line="300" w:lineRule="exact"/>
      <w:ind w:left="-105" w:leftChars="-50" w:right="-105" w:rightChars="-50"/>
      <w:jc w:val="center"/>
    </w:pPr>
    <w:rPr>
      <w:rFonts w:ascii="宋体" w:hAnsi="宋体" w:eastAsia="仿宋" w:cs="仿宋"/>
      <w:sz w:val="18"/>
      <w:szCs w:val="20"/>
    </w:rPr>
  </w:style>
  <w:style w:type="paragraph" w:styleId="14">
    <w:name w:val="toc 5"/>
    <w:basedOn w:val="1"/>
    <w:next w:val="1"/>
    <w:unhideWhenUsed/>
    <w:qFormat/>
    <w:uiPriority w:val="39"/>
    <w:pPr>
      <w:ind w:left="1680" w:leftChars="800"/>
    </w:pPr>
    <w:rPr>
      <w:szCs w:val="22"/>
    </w:rPr>
  </w:style>
  <w:style w:type="paragraph" w:styleId="15">
    <w:name w:val="toc 3"/>
    <w:basedOn w:val="1"/>
    <w:next w:val="1"/>
    <w:qFormat/>
    <w:uiPriority w:val="39"/>
    <w:pPr>
      <w:spacing w:line="360" w:lineRule="auto"/>
      <w:ind w:left="840" w:leftChars="400" w:firstLine="200" w:firstLineChars="200"/>
    </w:pPr>
    <w:rPr>
      <w:rFonts w:eastAsia="仿宋"/>
      <w:sz w:val="28"/>
    </w:rPr>
  </w:style>
  <w:style w:type="paragraph" w:styleId="16">
    <w:name w:val="toc 8"/>
    <w:basedOn w:val="1"/>
    <w:next w:val="1"/>
    <w:unhideWhenUsed/>
    <w:qFormat/>
    <w:uiPriority w:val="39"/>
    <w:pPr>
      <w:ind w:left="2940" w:leftChars="1400"/>
    </w:pPr>
    <w:rPr>
      <w:szCs w:val="22"/>
    </w:rPr>
  </w:style>
  <w:style w:type="paragraph" w:styleId="17">
    <w:name w:val="Balloon Text"/>
    <w:basedOn w:val="1"/>
    <w:link w:val="61"/>
    <w:qFormat/>
    <w:uiPriority w:val="0"/>
    <w:pPr>
      <w:ind w:firstLine="200" w:firstLineChars="200"/>
    </w:pPr>
    <w:rPr>
      <w:rFonts w:eastAsia="仿宋"/>
      <w:sz w:val="18"/>
      <w:szCs w:val="18"/>
    </w:rPr>
  </w:style>
  <w:style w:type="paragraph" w:styleId="18">
    <w:name w:val="footer"/>
    <w:basedOn w:val="1"/>
    <w:link w:val="57"/>
    <w:unhideWhenUsed/>
    <w:qFormat/>
    <w:uiPriority w:val="99"/>
    <w:pPr>
      <w:tabs>
        <w:tab w:val="center" w:pos="4153"/>
        <w:tab w:val="right" w:pos="8306"/>
      </w:tabs>
      <w:snapToGrid w:val="0"/>
    </w:pPr>
    <w:rPr>
      <w:sz w:val="18"/>
      <w:szCs w:val="18"/>
    </w:rPr>
  </w:style>
  <w:style w:type="paragraph" w:styleId="19">
    <w:name w:val="header"/>
    <w:basedOn w:val="1"/>
    <w:link w:val="174"/>
    <w:unhideWhenUsed/>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adjustRightInd w:val="0"/>
      <w:snapToGrid w:val="0"/>
      <w:spacing w:before="120" w:after="120"/>
      <w:jc w:val="left"/>
    </w:pPr>
    <w:rPr>
      <w:rFonts w:ascii="Calibri" w:hAnsi="Calibri" w:eastAsia="仿宋_GB2312" w:cs="Calibri"/>
      <w:b/>
      <w:bCs/>
      <w:caps/>
      <w:sz w:val="28"/>
      <w:szCs w:val="28"/>
    </w:rPr>
  </w:style>
  <w:style w:type="paragraph" w:styleId="21">
    <w:name w:val="toc 4"/>
    <w:basedOn w:val="1"/>
    <w:next w:val="1"/>
    <w:unhideWhenUsed/>
    <w:qFormat/>
    <w:uiPriority w:val="39"/>
    <w:pPr>
      <w:ind w:left="1260" w:leftChars="600"/>
    </w:pPr>
    <w:rPr>
      <w:szCs w:val="22"/>
    </w:rPr>
  </w:style>
  <w:style w:type="paragraph" w:styleId="22">
    <w:name w:val="Subtitle"/>
    <w:basedOn w:val="1"/>
    <w:next w:val="1"/>
    <w:link w:val="62"/>
    <w:qFormat/>
    <w:uiPriority w:val="0"/>
    <w:pPr>
      <w:adjustRightInd w:val="0"/>
      <w:snapToGrid w:val="0"/>
      <w:spacing w:before="240" w:after="60" w:line="312" w:lineRule="auto"/>
      <w:ind w:firstLine="200" w:firstLineChars="200"/>
      <w:jc w:val="center"/>
    </w:pPr>
    <w:rPr>
      <w:rFonts w:ascii="Cambria" w:hAnsi="Cambria" w:eastAsia="黑体"/>
      <w:b/>
      <w:bCs/>
      <w:kern w:val="28"/>
      <w:sz w:val="24"/>
      <w:szCs w:val="32"/>
    </w:rPr>
  </w:style>
  <w:style w:type="paragraph" w:styleId="23">
    <w:name w:val="toc 6"/>
    <w:basedOn w:val="1"/>
    <w:next w:val="1"/>
    <w:unhideWhenUsed/>
    <w:qFormat/>
    <w:uiPriority w:val="39"/>
    <w:pPr>
      <w:ind w:left="2100" w:leftChars="1000"/>
    </w:pPr>
    <w:rPr>
      <w:szCs w:val="22"/>
    </w:rPr>
  </w:style>
  <w:style w:type="paragraph" w:styleId="24">
    <w:name w:val="table of figures"/>
    <w:basedOn w:val="1"/>
    <w:next w:val="1"/>
    <w:qFormat/>
    <w:uiPriority w:val="99"/>
    <w:pPr>
      <w:spacing w:line="360" w:lineRule="auto"/>
      <w:ind w:left="840" w:leftChars="200" w:hanging="420" w:hangingChars="200"/>
    </w:pPr>
    <w:rPr>
      <w:rFonts w:ascii="Calibri" w:hAnsi="Calibri" w:eastAsia="仿宋" w:cs="仿宋"/>
      <w:sz w:val="28"/>
    </w:rPr>
  </w:style>
  <w:style w:type="paragraph" w:styleId="25">
    <w:name w:val="toc 2"/>
    <w:basedOn w:val="1"/>
    <w:next w:val="1"/>
    <w:qFormat/>
    <w:uiPriority w:val="39"/>
    <w:pPr>
      <w:spacing w:line="360" w:lineRule="auto"/>
      <w:ind w:left="420" w:leftChars="200" w:firstLine="200" w:firstLineChars="200"/>
    </w:pPr>
    <w:rPr>
      <w:rFonts w:eastAsia="仿宋"/>
      <w:sz w:val="28"/>
    </w:rPr>
  </w:style>
  <w:style w:type="paragraph" w:styleId="26">
    <w:name w:val="toc 9"/>
    <w:basedOn w:val="1"/>
    <w:next w:val="1"/>
    <w:unhideWhenUsed/>
    <w:qFormat/>
    <w:uiPriority w:val="39"/>
    <w:pPr>
      <w:ind w:left="3360" w:leftChars="1600"/>
    </w:pPr>
    <w:rPr>
      <w:szCs w:val="22"/>
    </w:rPr>
  </w:style>
  <w:style w:type="paragraph" w:styleId="27">
    <w:name w:val="Body Text 2"/>
    <w:basedOn w:val="1"/>
    <w:link w:val="63"/>
    <w:qFormat/>
    <w:uiPriority w:val="99"/>
    <w:pPr>
      <w:spacing w:after="120" w:line="480" w:lineRule="auto"/>
      <w:ind w:firstLine="560" w:firstLineChars="200"/>
    </w:pPr>
    <w:rPr>
      <w:rFonts w:ascii="Calibri" w:hAnsi="Calibri" w:eastAsia="仿宋"/>
      <w:sz w:val="28"/>
    </w:rPr>
  </w:style>
  <w:style w:type="paragraph" w:styleId="28">
    <w:name w:val="Normal (Web)"/>
    <w:basedOn w:val="1"/>
    <w:qFormat/>
    <w:uiPriority w:val="0"/>
    <w:pPr>
      <w:spacing w:before="100" w:beforeAutospacing="1" w:after="100" w:afterAutospacing="1" w:line="360" w:lineRule="auto"/>
      <w:ind w:firstLine="200" w:firstLineChars="200"/>
      <w:jc w:val="left"/>
    </w:pPr>
    <w:rPr>
      <w:rFonts w:eastAsia="仿宋" w:cs="Times New Roman"/>
      <w:kern w:val="0"/>
      <w:sz w:val="24"/>
    </w:rPr>
  </w:style>
  <w:style w:type="paragraph" w:styleId="29">
    <w:name w:val="annotation subject"/>
    <w:basedOn w:val="9"/>
    <w:next w:val="9"/>
    <w:link w:val="64"/>
    <w:qFormat/>
    <w:uiPriority w:val="0"/>
    <w:rPr>
      <w:b/>
      <w:bCs/>
    </w:rPr>
  </w:style>
  <w:style w:type="paragraph" w:styleId="30">
    <w:name w:val="Body Text First Indent"/>
    <w:basedOn w:val="11"/>
    <w:link w:val="65"/>
    <w:qFormat/>
    <w:uiPriority w:val="0"/>
    <w:pPr>
      <w:adjustRightInd/>
      <w:spacing w:before="0" w:after="120" w:line="360" w:lineRule="auto"/>
      <w:ind w:firstLine="420" w:firstLineChars="100"/>
    </w:pPr>
    <w:rPr>
      <w:kern w:val="2"/>
      <w:sz w:val="21"/>
    </w:rPr>
  </w:style>
  <w:style w:type="paragraph" w:styleId="31">
    <w:name w:val="Body Text First Indent 2"/>
    <w:basedOn w:val="12"/>
    <w:next w:val="1"/>
    <w:link w:val="66"/>
    <w:qFormat/>
    <w:uiPriority w:val="0"/>
    <w:pPr>
      <w:ind w:firstLine="420"/>
    </w:pPr>
  </w:style>
  <w:style w:type="table" w:styleId="33">
    <w:name w:val="Table Grid"/>
    <w:basedOn w:val="3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basedOn w:val="34"/>
    <w:qFormat/>
    <w:uiPriority w:val="0"/>
    <w:rPr>
      <w:b/>
    </w:rPr>
  </w:style>
  <w:style w:type="character" w:styleId="36">
    <w:name w:val="FollowedHyperlink"/>
    <w:basedOn w:val="34"/>
    <w:qFormat/>
    <w:uiPriority w:val="99"/>
    <w:rPr>
      <w:color w:val="338DE6"/>
      <w:u w:val="none"/>
    </w:rPr>
  </w:style>
  <w:style w:type="character" w:styleId="37">
    <w:name w:val="Emphasis"/>
    <w:basedOn w:val="34"/>
    <w:qFormat/>
    <w:uiPriority w:val="0"/>
    <w:rPr>
      <w:i/>
    </w:rPr>
  </w:style>
  <w:style w:type="character" w:styleId="38">
    <w:name w:val="HTML Definition"/>
    <w:basedOn w:val="34"/>
    <w:qFormat/>
    <w:uiPriority w:val="0"/>
  </w:style>
  <w:style w:type="character" w:styleId="39">
    <w:name w:val="HTML Acronym"/>
    <w:basedOn w:val="34"/>
    <w:qFormat/>
    <w:uiPriority w:val="0"/>
  </w:style>
  <w:style w:type="character" w:styleId="40">
    <w:name w:val="HTML Variable"/>
    <w:basedOn w:val="34"/>
    <w:qFormat/>
    <w:uiPriority w:val="0"/>
  </w:style>
  <w:style w:type="character" w:styleId="41">
    <w:name w:val="Hyperlink"/>
    <w:basedOn w:val="34"/>
    <w:qFormat/>
    <w:uiPriority w:val="99"/>
    <w:rPr>
      <w:color w:val="0000FF"/>
      <w:u w:val="single"/>
    </w:rPr>
  </w:style>
  <w:style w:type="character" w:styleId="42">
    <w:name w:val="HTML Code"/>
    <w:basedOn w:val="34"/>
    <w:qFormat/>
    <w:uiPriority w:val="0"/>
    <w:rPr>
      <w:rFonts w:hint="default" w:ascii="serif" w:hAnsi="serif" w:eastAsia="serif" w:cs="serif"/>
      <w:sz w:val="21"/>
      <w:szCs w:val="21"/>
    </w:rPr>
  </w:style>
  <w:style w:type="character" w:styleId="43">
    <w:name w:val="annotation reference"/>
    <w:basedOn w:val="34"/>
    <w:qFormat/>
    <w:uiPriority w:val="0"/>
    <w:rPr>
      <w:sz w:val="21"/>
      <w:szCs w:val="21"/>
    </w:rPr>
  </w:style>
  <w:style w:type="character" w:styleId="44">
    <w:name w:val="HTML Cite"/>
    <w:basedOn w:val="34"/>
    <w:qFormat/>
    <w:uiPriority w:val="0"/>
  </w:style>
  <w:style w:type="character" w:styleId="45">
    <w:name w:val="HTML Keyboard"/>
    <w:basedOn w:val="34"/>
    <w:qFormat/>
    <w:uiPriority w:val="0"/>
    <w:rPr>
      <w:rFonts w:ascii="serif" w:hAnsi="serif" w:eastAsia="serif" w:cs="serif"/>
      <w:sz w:val="21"/>
      <w:szCs w:val="21"/>
    </w:rPr>
  </w:style>
  <w:style w:type="character" w:styleId="46">
    <w:name w:val="HTML Sample"/>
    <w:basedOn w:val="34"/>
    <w:qFormat/>
    <w:uiPriority w:val="0"/>
    <w:rPr>
      <w:rFonts w:hint="default" w:ascii="serif" w:hAnsi="serif" w:eastAsia="serif" w:cs="serif"/>
      <w:sz w:val="21"/>
      <w:szCs w:val="21"/>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常用样式（方正仿宋简）"/>
    <w:basedOn w:val="49"/>
    <w:qFormat/>
    <w:uiPriority w:val="0"/>
    <w:pPr>
      <w:spacing w:line="560" w:lineRule="exact"/>
      <w:ind w:firstLine="640" w:firstLineChars="200"/>
    </w:pPr>
    <w:rPr>
      <w:rFonts w:eastAsia="方正仿宋简体"/>
      <w:sz w:val="32"/>
    </w:rPr>
  </w:style>
  <w:style w:type="paragraph" w:customStyle="1" w:styleId="49">
    <w:name w:val="正文1"/>
    <w:next w:val="48"/>
    <w:qFormat/>
    <w:uiPriority w:val="0"/>
    <w:pPr>
      <w:widowControl w:val="0"/>
      <w:suppressAutoHyphens w:val="0"/>
      <w:bidi w:val="0"/>
      <w:spacing w:before="0" w:after="0"/>
      <w:jc w:val="both"/>
    </w:pPr>
    <w:rPr>
      <w:rFonts w:ascii="Calibri" w:hAnsi="Calibri" w:eastAsia="宋体" w:cs="Times New Roman"/>
      <w:color w:val="auto"/>
      <w:kern w:val="2"/>
      <w:sz w:val="21"/>
      <w:szCs w:val="24"/>
      <w:lang w:val="en-US" w:eastAsia="zh-CN" w:bidi="ar-SA"/>
    </w:rPr>
  </w:style>
  <w:style w:type="paragraph" w:customStyle="1" w:styleId="50">
    <w:name w:val="样式8"/>
    <w:basedOn w:val="1"/>
    <w:link w:val="54"/>
    <w:qFormat/>
    <w:uiPriority w:val="0"/>
    <w:pPr>
      <w:spacing w:line="360" w:lineRule="auto"/>
      <w:ind w:firstLine="720" w:firstLineChars="200"/>
    </w:pPr>
    <w:rPr>
      <w:rFonts w:ascii="Times New Roman" w:hAnsi="Times New Roman" w:eastAsia="仿宋"/>
      <w:sz w:val="28"/>
    </w:rPr>
  </w:style>
  <w:style w:type="paragraph" w:customStyle="1" w:styleId="51">
    <w:name w:val="Default"/>
    <w:qFormat/>
    <w:uiPriority w:val="0"/>
    <w:pPr>
      <w:widowControl w:val="0"/>
      <w:autoSpaceDE w:val="0"/>
      <w:autoSpaceDN w:val="0"/>
      <w:adjustRightInd w:val="0"/>
    </w:pPr>
    <w:rPr>
      <w:rFonts w:ascii="Univers 45 Light" w:hAnsi="Times New Roman" w:eastAsia="Univers 45 Light" w:cs="Univers 45 Light"/>
      <w:color w:val="000000"/>
      <w:sz w:val="24"/>
      <w:szCs w:val="24"/>
      <w:lang w:val="en-US" w:eastAsia="zh-CN" w:bidi="ar-SA"/>
    </w:rPr>
  </w:style>
  <w:style w:type="character" w:customStyle="1" w:styleId="52">
    <w:name w:val="font21"/>
    <w:basedOn w:val="34"/>
    <w:qFormat/>
    <w:uiPriority w:val="0"/>
    <w:rPr>
      <w:rFonts w:hint="default" w:ascii="Times New Roman" w:hAnsi="Times New Roman" w:cs="Times New Roman"/>
      <w:color w:val="000000"/>
      <w:sz w:val="28"/>
      <w:szCs w:val="28"/>
      <w:u w:val="none"/>
    </w:rPr>
  </w:style>
  <w:style w:type="character" w:customStyle="1" w:styleId="53">
    <w:name w:val="font31"/>
    <w:basedOn w:val="34"/>
    <w:qFormat/>
    <w:uiPriority w:val="0"/>
    <w:rPr>
      <w:rFonts w:hint="eastAsia" w:ascii="宋体" w:hAnsi="宋体" w:eastAsia="宋体" w:cs="宋体"/>
      <w:color w:val="000000"/>
      <w:sz w:val="20"/>
      <w:szCs w:val="20"/>
      <w:u w:val="none"/>
    </w:rPr>
  </w:style>
  <w:style w:type="character" w:customStyle="1" w:styleId="54">
    <w:name w:val="样式8 Char1"/>
    <w:link w:val="50"/>
    <w:qFormat/>
    <w:uiPriority w:val="0"/>
    <w:rPr>
      <w:rFonts w:ascii="Times New Roman" w:hAnsi="Times New Roman" w:eastAsia="仿宋"/>
      <w:sz w:val="28"/>
      <w:szCs w:val="24"/>
    </w:rPr>
  </w:style>
  <w:style w:type="character" w:customStyle="1" w:styleId="55">
    <w:name w:val="标题 2 字符"/>
    <w:basedOn w:val="34"/>
    <w:link w:val="3"/>
    <w:qFormat/>
    <w:uiPriority w:val="1"/>
    <w:rPr>
      <w:rFonts w:asciiTheme="majorHAnsi" w:hAnsiTheme="majorHAnsi" w:eastAsiaTheme="majorEastAsia" w:cstheme="majorBidi"/>
      <w:b/>
      <w:bCs/>
      <w:kern w:val="2"/>
      <w:sz w:val="32"/>
      <w:szCs w:val="32"/>
    </w:rPr>
  </w:style>
  <w:style w:type="character" w:customStyle="1" w:styleId="56">
    <w:name w:val="正文文本 字符"/>
    <w:basedOn w:val="34"/>
    <w:link w:val="11"/>
    <w:qFormat/>
    <w:uiPriority w:val="99"/>
    <w:rPr>
      <w:rFonts w:ascii="华文楷体" w:hAnsi="华文楷体" w:eastAsia="LF_Kai" w:cstheme="minorBidi"/>
      <w:sz w:val="24"/>
      <w:lang w:val="en-GB"/>
    </w:rPr>
  </w:style>
  <w:style w:type="character" w:customStyle="1" w:styleId="57">
    <w:name w:val="页脚 字符"/>
    <w:basedOn w:val="34"/>
    <w:link w:val="18"/>
    <w:qFormat/>
    <w:uiPriority w:val="99"/>
    <w:rPr>
      <w:rFonts w:asciiTheme="minorHAnsi" w:hAnsiTheme="minorHAnsi" w:eastAsiaTheme="minorEastAsia" w:cstheme="minorBidi"/>
      <w:kern w:val="2"/>
      <w:sz w:val="18"/>
      <w:szCs w:val="18"/>
    </w:rPr>
  </w:style>
  <w:style w:type="character" w:customStyle="1" w:styleId="58">
    <w:name w:val="标题 1 字符"/>
    <w:basedOn w:val="34"/>
    <w:link w:val="2"/>
    <w:qFormat/>
    <w:uiPriority w:val="1"/>
    <w:rPr>
      <w:rFonts w:ascii="Calibri" w:hAnsi="Calibri" w:cstheme="minorBidi"/>
      <w:b/>
      <w:kern w:val="2"/>
      <w:sz w:val="32"/>
      <w:szCs w:val="24"/>
    </w:rPr>
  </w:style>
  <w:style w:type="character" w:customStyle="1" w:styleId="59">
    <w:name w:val="批注文字 字符"/>
    <w:basedOn w:val="34"/>
    <w:link w:val="9"/>
    <w:qFormat/>
    <w:uiPriority w:val="0"/>
    <w:rPr>
      <w:rFonts w:eastAsia="仿宋" w:asciiTheme="minorHAnsi" w:hAnsiTheme="minorHAnsi" w:cstheme="minorBidi"/>
      <w:kern w:val="2"/>
      <w:sz w:val="28"/>
      <w:szCs w:val="24"/>
    </w:rPr>
  </w:style>
  <w:style w:type="character" w:customStyle="1" w:styleId="60">
    <w:name w:val="正文文本缩进 字符"/>
    <w:basedOn w:val="34"/>
    <w:link w:val="12"/>
    <w:qFormat/>
    <w:uiPriority w:val="99"/>
    <w:rPr>
      <w:rFonts w:eastAsia="仿宋" w:asciiTheme="minorHAnsi" w:hAnsiTheme="minorHAnsi" w:cstheme="minorBidi"/>
      <w:kern w:val="2"/>
      <w:sz w:val="28"/>
      <w:szCs w:val="24"/>
    </w:rPr>
  </w:style>
  <w:style w:type="character" w:customStyle="1" w:styleId="61">
    <w:name w:val="批注框文本 字符"/>
    <w:basedOn w:val="34"/>
    <w:link w:val="17"/>
    <w:qFormat/>
    <w:uiPriority w:val="0"/>
    <w:rPr>
      <w:rFonts w:eastAsia="仿宋" w:asciiTheme="minorHAnsi" w:hAnsiTheme="minorHAnsi" w:cstheme="minorBidi"/>
      <w:kern w:val="2"/>
      <w:sz w:val="18"/>
      <w:szCs w:val="18"/>
    </w:rPr>
  </w:style>
  <w:style w:type="character" w:customStyle="1" w:styleId="62">
    <w:name w:val="副标题 字符"/>
    <w:basedOn w:val="34"/>
    <w:link w:val="22"/>
    <w:qFormat/>
    <w:uiPriority w:val="0"/>
    <w:rPr>
      <w:rFonts w:ascii="Cambria" w:hAnsi="Cambria" w:eastAsia="黑体" w:cstheme="minorBidi"/>
      <w:b/>
      <w:bCs/>
      <w:kern w:val="28"/>
      <w:sz w:val="24"/>
      <w:szCs w:val="32"/>
    </w:rPr>
  </w:style>
  <w:style w:type="character" w:customStyle="1" w:styleId="63">
    <w:name w:val="正文文本 2 字符"/>
    <w:basedOn w:val="34"/>
    <w:link w:val="27"/>
    <w:qFormat/>
    <w:uiPriority w:val="99"/>
    <w:rPr>
      <w:rFonts w:ascii="Calibri" w:hAnsi="Calibri" w:eastAsia="仿宋" w:cstheme="minorBidi"/>
      <w:kern w:val="2"/>
      <w:sz w:val="28"/>
      <w:szCs w:val="24"/>
    </w:rPr>
  </w:style>
  <w:style w:type="character" w:customStyle="1" w:styleId="64">
    <w:name w:val="批注主题 字符"/>
    <w:basedOn w:val="59"/>
    <w:link w:val="29"/>
    <w:qFormat/>
    <w:uiPriority w:val="0"/>
    <w:rPr>
      <w:rFonts w:eastAsia="仿宋" w:asciiTheme="minorHAnsi" w:hAnsiTheme="minorHAnsi" w:cstheme="minorBidi"/>
      <w:b/>
      <w:bCs/>
      <w:kern w:val="2"/>
      <w:sz w:val="28"/>
      <w:szCs w:val="24"/>
    </w:rPr>
  </w:style>
  <w:style w:type="character" w:customStyle="1" w:styleId="65">
    <w:name w:val="正文文本首行缩进 字符"/>
    <w:basedOn w:val="56"/>
    <w:link w:val="30"/>
    <w:qFormat/>
    <w:uiPriority w:val="0"/>
    <w:rPr>
      <w:rFonts w:ascii="华文楷体" w:hAnsi="华文楷体" w:eastAsia="LF_Kai" w:cstheme="minorBidi"/>
      <w:kern w:val="2"/>
      <w:sz w:val="21"/>
      <w:lang w:val="en-GB"/>
    </w:rPr>
  </w:style>
  <w:style w:type="character" w:customStyle="1" w:styleId="66">
    <w:name w:val="正文文本首行缩进 2 字符"/>
    <w:basedOn w:val="60"/>
    <w:link w:val="31"/>
    <w:qFormat/>
    <w:uiPriority w:val="0"/>
    <w:rPr>
      <w:rFonts w:eastAsia="仿宋" w:asciiTheme="minorHAnsi" w:hAnsiTheme="minorHAnsi" w:cstheme="minorBidi"/>
      <w:kern w:val="2"/>
      <w:sz w:val="28"/>
      <w:szCs w:val="24"/>
    </w:rPr>
  </w:style>
  <w:style w:type="character" w:customStyle="1" w:styleId="67">
    <w:name w:val="标题 3 字符"/>
    <w:link w:val="4"/>
    <w:qFormat/>
    <w:uiPriority w:val="1"/>
    <w:rPr>
      <w:rFonts w:asciiTheme="minorHAnsi" w:hAnsiTheme="minorHAnsi" w:eastAsiaTheme="minorEastAsia" w:cstheme="minorBidi"/>
      <w:b/>
      <w:bCs/>
      <w:kern w:val="2"/>
      <w:sz w:val="32"/>
      <w:szCs w:val="32"/>
    </w:rPr>
  </w:style>
  <w:style w:type="character" w:customStyle="1" w:styleId="68">
    <w:name w:val="标题 4 字符"/>
    <w:basedOn w:val="34"/>
    <w:link w:val="5"/>
    <w:qFormat/>
    <w:uiPriority w:val="0"/>
    <w:rPr>
      <w:rFonts w:ascii="Arial" w:hAnsi="Arial" w:eastAsia="黑体" w:cstheme="minorBidi"/>
      <w:b/>
      <w:kern w:val="2"/>
      <w:sz w:val="28"/>
      <w:szCs w:val="24"/>
    </w:rPr>
  </w:style>
  <w:style w:type="paragraph" w:customStyle="1" w:styleId="69">
    <w:name w:val="样式4"/>
    <w:basedOn w:val="1"/>
    <w:qFormat/>
    <w:uiPriority w:val="0"/>
    <w:pPr>
      <w:ind w:firstLine="480" w:firstLineChars="200"/>
    </w:pPr>
    <w:rPr>
      <w:rFonts w:ascii="Times New Roman" w:hAnsi="宋体" w:eastAsia="宋体" w:cs="Times New Roman"/>
      <w:color w:val="000000"/>
      <w:kern w:val="0"/>
      <w:sz w:val="28"/>
    </w:rPr>
  </w:style>
  <w:style w:type="paragraph" w:customStyle="1" w:styleId="70">
    <w:name w:val="样式10"/>
    <w:basedOn w:val="1"/>
    <w:qFormat/>
    <w:uiPriority w:val="0"/>
    <w:pPr>
      <w:spacing w:line="360" w:lineRule="auto"/>
      <w:ind w:firstLine="480" w:firstLineChars="200"/>
    </w:pPr>
    <w:rPr>
      <w:rFonts w:ascii="Times New Roman" w:hAnsi="Times New Roman" w:eastAsia="宋体" w:cs="Times New Roman"/>
      <w:sz w:val="28"/>
    </w:rPr>
  </w:style>
  <w:style w:type="paragraph" w:customStyle="1" w:styleId="71">
    <w:name w:val="Table Paragraph"/>
    <w:basedOn w:val="1"/>
    <w:qFormat/>
    <w:uiPriority w:val="1"/>
    <w:pPr>
      <w:spacing w:line="360" w:lineRule="auto"/>
      <w:ind w:firstLine="200" w:firstLineChars="200"/>
    </w:pPr>
    <w:rPr>
      <w:rFonts w:ascii="宋体" w:hAnsi="宋体" w:eastAsia="宋体" w:cs="宋体"/>
      <w:sz w:val="28"/>
      <w:lang w:val="zh-CN" w:bidi="zh-CN"/>
    </w:rPr>
  </w:style>
  <w:style w:type="paragraph" w:styleId="72">
    <w:name w:val="List Paragraph"/>
    <w:basedOn w:val="1"/>
    <w:qFormat/>
    <w:uiPriority w:val="99"/>
    <w:pPr>
      <w:spacing w:line="360" w:lineRule="auto"/>
      <w:ind w:left="758" w:hanging="705" w:firstLineChars="200"/>
    </w:pPr>
    <w:rPr>
      <w:rFonts w:ascii="宋体" w:hAnsi="宋体" w:eastAsia="宋体" w:cs="宋体"/>
      <w:sz w:val="28"/>
      <w:lang w:val="zh-CN" w:bidi="zh-CN"/>
    </w:rPr>
  </w:style>
  <w:style w:type="paragraph" w:customStyle="1" w:styleId="73">
    <w:name w:val="章标题"/>
    <w:basedOn w:val="1"/>
    <w:next w:val="74"/>
    <w:qFormat/>
    <w:uiPriority w:val="0"/>
    <w:pPr>
      <w:widowControl/>
      <w:spacing w:before="158" w:after="153" w:line="323" w:lineRule="atLeast"/>
      <w:ind w:right="-120" w:firstLine="200" w:firstLineChars="200"/>
      <w:jc w:val="center"/>
      <w:textAlignment w:val="baseline"/>
    </w:pPr>
    <w:rPr>
      <w:rFonts w:eastAsia="仿宋"/>
      <w:color w:val="FF0000"/>
      <w:kern w:val="0"/>
      <w:sz w:val="18"/>
      <w:szCs w:val="18"/>
    </w:rPr>
  </w:style>
  <w:style w:type="paragraph" w:customStyle="1" w:styleId="74">
    <w:name w:val="节标题"/>
    <w:basedOn w:val="1"/>
    <w:next w:val="1"/>
    <w:qFormat/>
    <w:uiPriority w:val="0"/>
    <w:pPr>
      <w:widowControl/>
      <w:spacing w:line="289" w:lineRule="atLeast"/>
      <w:ind w:firstLine="200" w:firstLineChars="200"/>
      <w:jc w:val="center"/>
      <w:textAlignment w:val="baseline"/>
    </w:pPr>
    <w:rPr>
      <w:rFonts w:eastAsia="仿宋"/>
      <w:color w:val="000000"/>
      <w:kern w:val="0"/>
      <w:sz w:val="28"/>
      <w:szCs w:val="20"/>
      <w:u w:color="000000"/>
    </w:rPr>
  </w:style>
  <w:style w:type="character" w:customStyle="1" w:styleId="75">
    <w:name w:val="font01"/>
    <w:basedOn w:val="34"/>
    <w:qFormat/>
    <w:uiPriority w:val="0"/>
    <w:rPr>
      <w:rFonts w:hint="eastAsia" w:ascii="宋体" w:hAnsi="宋体" w:eastAsia="宋体" w:cs="宋体"/>
      <w:color w:val="000000"/>
      <w:sz w:val="20"/>
      <w:szCs w:val="20"/>
      <w:u w:val="none"/>
    </w:rPr>
  </w:style>
  <w:style w:type="character" w:customStyle="1" w:styleId="76">
    <w:name w:val="font11"/>
    <w:basedOn w:val="34"/>
    <w:qFormat/>
    <w:uiPriority w:val="0"/>
    <w:rPr>
      <w:rFonts w:hint="eastAsia" w:ascii="宋体" w:hAnsi="宋体" w:eastAsia="宋体" w:cs="宋体"/>
      <w:color w:val="000000"/>
      <w:sz w:val="20"/>
      <w:szCs w:val="20"/>
      <w:u w:val="none"/>
    </w:rPr>
  </w:style>
  <w:style w:type="character" w:customStyle="1" w:styleId="77">
    <w:name w:val="font41"/>
    <w:basedOn w:val="34"/>
    <w:qFormat/>
    <w:uiPriority w:val="0"/>
    <w:rPr>
      <w:rFonts w:hint="default" w:ascii="Times New Roman" w:hAnsi="Times New Roman" w:cs="Times New Roman"/>
      <w:color w:val="000000"/>
      <w:sz w:val="22"/>
      <w:szCs w:val="22"/>
      <w:u w:val="none"/>
    </w:rPr>
  </w:style>
  <w:style w:type="character" w:customStyle="1" w:styleId="78">
    <w:name w:val="font61"/>
    <w:basedOn w:val="34"/>
    <w:qFormat/>
    <w:uiPriority w:val="0"/>
    <w:rPr>
      <w:rFonts w:hint="eastAsia" w:ascii="宋体" w:hAnsi="宋体" w:eastAsia="宋体" w:cs="宋体"/>
      <w:color w:val="000000"/>
      <w:sz w:val="22"/>
      <w:szCs w:val="22"/>
      <w:u w:val="none"/>
    </w:rPr>
  </w:style>
  <w:style w:type="character" w:customStyle="1" w:styleId="79">
    <w:name w:val="font91"/>
    <w:basedOn w:val="34"/>
    <w:qFormat/>
    <w:uiPriority w:val="0"/>
    <w:rPr>
      <w:rFonts w:hint="default" w:ascii="Arial Narrow" w:hAnsi="Arial Narrow" w:eastAsia="Arial Narrow" w:cs="Arial Narrow"/>
      <w:color w:val="000000"/>
      <w:sz w:val="32"/>
      <w:szCs w:val="32"/>
      <w:u w:val="none"/>
    </w:rPr>
  </w:style>
  <w:style w:type="character" w:customStyle="1" w:styleId="80">
    <w:name w:val="font51"/>
    <w:basedOn w:val="34"/>
    <w:qFormat/>
    <w:uiPriority w:val="0"/>
    <w:rPr>
      <w:rFonts w:hint="default" w:ascii="Arial Narrow" w:hAnsi="Arial Narrow" w:eastAsia="Arial Narrow" w:cs="Arial Narrow"/>
      <w:color w:val="000000"/>
      <w:sz w:val="20"/>
      <w:szCs w:val="20"/>
      <w:u w:val="none"/>
    </w:rPr>
  </w:style>
  <w:style w:type="character" w:customStyle="1" w:styleId="81">
    <w:name w:val="fontborder"/>
    <w:basedOn w:val="34"/>
    <w:qFormat/>
    <w:uiPriority w:val="0"/>
    <w:rPr>
      <w:bdr w:val="single" w:color="000000" w:sz="6" w:space="0"/>
    </w:rPr>
  </w:style>
  <w:style w:type="character" w:customStyle="1" w:styleId="82">
    <w:name w:val="fontstrikethrough"/>
    <w:basedOn w:val="34"/>
    <w:qFormat/>
    <w:uiPriority w:val="0"/>
    <w:rPr>
      <w:strike/>
    </w:rPr>
  </w:style>
  <w:style w:type="paragraph" w:customStyle="1" w:styleId="83">
    <w:name w:val="p0"/>
    <w:basedOn w:val="1"/>
    <w:qFormat/>
    <w:uiPriority w:val="0"/>
    <w:pPr>
      <w:widowControl/>
      <w:spacing w:line="360" w:lineRule="auto"/>
      <w:ind w:firstLine="200" w:firstLineChars="200"/>
    </w:pPr>
    <w:rPr>
      <w:rFonts w:ascii="宋体" w:hAnsi="宋体" w:eastAsia="仿宋"/>
      <w:kern w:val="0"/>
      <w:sz w:val="28"/>
    </w:rPr>
  </w:style>
  <w:style w:type="character" w:customStyle="1" w:styleId="84">
    <w:name w:val="btn-task-gray1"/>
    <w:basedOn w:val="34"/>
    <w:qFormat/>
    <w:uiPriority w:val="0"/>
    <w:rPr>
      <w:color w:val="FFFFFF"/>
      <w:u w:val="none"/>
      <w:shd w:val="clear" w:color="auto" w:fill="CCCCCC"/>
    </w:rPr>
  </w:style>
  <w:style w:type="character" w:customStyle="1" w:styleId="85">
    <w:name w:val="btn-task-gray2"/>
    <w:basedOn w:val="34"/>
    <w:qFormat/>
    <w:uiPriority w:val="0"/>
  </w:style>
  <w:style w:type="character" w:customStyle="1" w:styleId="86">
    <w:name w:val="btn-auto-11"/>
    <w:basedOn w:val="34"/>
    <w:qFormat/>
    <w:uiPriority w:val="0"/>
  </w:style>
  <w:style w:type="character" w:customStyle="1" w:styleId="87">
    <w:name w:val="s1"/>
    <w:basedOn w:val="34"/>
    <w:qFormat/>
    <w:uiPriority w:val="0"/>
    <w:rPr>
      <w:color w:val="DDDDDD"/>
      <w:sz w:val="18"/>
      <w:szCs w:val="18"/>
    </w:rPr>
  </w:style>
  <w:style w:type="character" w:customStyle="1" w:styleId="88">
    <w:name w:val="font112"/>
    <w:basedOn w:val="34"/>
    <w:qFormat/>
    <w:uiPriority w:val="0"/>
    <w:rPr>
      <w:rFonts w:hint="default" w:ascii="Arial Narrow" w:hAnsi="Arial Narrow" w:eastAsia="Arial Narrow" w:cs="Arial Narrow"/>
      <w:color w:val="000000"/>
      <w:sz w:val="32"/>
      <w:szCs w:val="32"/>
      <w:u w:val="none"/>
    </w:rPr>
  </w:style>
  <w:style w:type="character" w:customStyle="1" w:styleId="89">
    <w:name w:val="font121"/>
    <w:basedOn w:val="34"/>
    <w:qFormat/>
    <w:uiPriority w:val="0"/>
    <w:rPr>
      <w:rFonts w:hint="default" w:ascii="Arial Narrow" w:hAnsi="Arial Narrow" w:eastAsia="Arial Narrow" w:cs="Arial Narrow"/>
      <w:color w:val="000000"/>
      <w:sz w:val="32"/>
      <w:szCs w:val="32"/>
      <w:u w:val="none"/>
    </w:rPr>
  </w:style>
  <w:style w:type="character" w:customStyle="1" w:styleId="90">
    <w:name w:val="font111"/>
    <w:basedOn w:val="34"/>
    <w:qFormat/>
    <w:uiPriority w:val="0"/>
    <w:rPr>
      <w:rFonts w:hint="default" w:ascii="Arial Narrow" w:hAnsi="Arial Narrow" w:eastAsia="Arial Narrow" w:cs="Arial Narrow"/>
      <w:color w:val="000000"/>
      <w:sz w:val="32"/>
      <w:szCs w:val="32"/>
      <w:u w:val="none"/>
    </w:rPr>
  </w:style>
  <w:style w:type="character" w:customStyle="1" w:styleId="91">
    <w:name w:val="font101"/>
    <w:basedOn w:val="34"/>
    <w:qFormat/>
    <w:uiPriority w:val="0"/>
    <w:rPr>
      <w:rFonts w:hint="default" w:ascii="Times New Roman" w:hAnsi="Times New Roman" w:cs="Times New Roman"/>
      <w:color w:val="000000"/>
      <w:sz w:val="22"/>
      <w:szCs w:val="22"/>
      <w:u w:val="none"/>
    </w:rPr>
  </w:style>
  <w:style w:type="character" w:customStyle="1" w:styleId="92">
    <w:name w:val="font71"/>
    <w:basedOn w:val="34"/>
    <w:qFormat/>
    <w:uiPriority w:val="0"/>
    <w:rPr>
      <w:rFonts w:hint="default" w:ascii="Arial" w:hAnsi="Arial" w:cs="Arial"/>
      <w:color w:val="000000"/>
      <w:sz w:val="18"/>
      <w:szCs w:val="18"/>
      <w:u w:val="none"/>
    </w:rPr>
  </w:style>
  <w:style w:type="paragraph" w:customStyle="1" w:styleId="9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94">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95">
    <w:name w:val="font131"/>
    <w:basedOn w:val="34"/>
    <w:qFormat/>
    <w:uiPriority w:val="0"/>
    <w:rPr>
      <w:rFonts w:hint="eastAsia" w:ascii="黑体" w:hAnsi="宋体" w:eastAsia="黑体" w:cs="黑体"/>
      <w:color w:val="000000"/>
      <w:sz w:val="22"/>
      <w:szCs w:val="22"/>
      <w:u w:val="none"/>
    </w:rPr>
  </w:style>
  <w:style w:type="paragraph" w:customStyle="1" w:styleId="96">
    <w:name w:val="TOC 标题1"/>
    <w:basedOn w:val="2"/>
    <w:next w:val="1"/>
    <w:unhideWhenUsed/>
    <w:qFormat/>
    <w:uiPriority w:val="39"/>
    <w:pPr>
      <w:keepNext/>
      <w:keepLines/>
      <w:widowControl/>
      <w:tabs>
        <w:tab w:val="clear" w:pos="0"/>
        <w:tab w:val="clear" w:pos="3285"/>
      </w:tabs>
      <w:spacing w:before="240" w:after="0" w:line="259" w:lineRule="auto"/>
      <w:jc w:val="left"/>
      <w:outlineLvl w:val="9"/>
    </w:pPr>
    <w:rPr>
      <w:rFonts w:asciiTheme="majorHAnsi" w:hAnsiTheme="majorHAnsi" w:eastAsiaTheme="majorEastAsia" w:cstheme="majorBidi"/>
      <w:b w:val="0"/>
      <w:color w:val="2E75B6" w:themeColor="accent1" w:themeShade="BF"/>
      <w:kern w:val="0"/>
      <w:szCs w:val="32"/>
    </w:rPr>
  </w:style>
  <w:style w:type="paragraph" w:customStyle="1" w:styleId="97">
    <w:name w:val="msonormal"/>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98">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99">
    <w:name w:val="xl75"/>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0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0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cs="宋体"/>
      <w:color w:val="000000"/>
      <w:kern w:val="0"/>
      <w:sz w:val="20"/>
      <w:szCs w:val="20"/>
    </w:rPr>
  </w:style>
  <w:style w:type="paragraph" w:customStyle="1" w:styleId="10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03">
    <w:name w:val="xl79"/>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04">
    <w:name w:val="xl80"/>
    <w:basedOn w:val="1"/>
    <w:qFormat/>
    <w:uiPriority w:val="0"/>
    <w:pPr>
      <w:widowControl/>
      <w:pBdr>
        <w:top w:val="single" w:color="auto" w:sz="4" w:space="0"/>
        <w:left w:val="single" w:color="auto" w:sz="4" w:space="31"/>
        <w:bottom w:val="single" w:color="auto" w:sz="4" w:space="0"/>
        <w:right w:val="single" w:color="auto" w:sz="4" w:space="0"/>
      </w:pBdr>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0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color w:val="000000"/>
      <w:kern w:val="0"/>
      <w:sz w:val="20"/>
      <w:szCs w:val="20"/>
    </w:rPr>
  </w:style>
  <w:style w:type="paragraph" w:customStyle="1" w:styleId="10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color w:val="000000"/>
      <w:kern w:val="0"/>
      <w:sz w:val="20"/>
      <w:szCs w:val="20"/>
    </w:rPr>
  </w:style>
  <w:style w:type="paragraph" w:customStyle="1" w:styleId="107">
    <w:name w:val="xl8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08">
    <w:name w:val="xl84"/>
    <w:basedOn w:val="1"/>
    <w:qFormat/>
    <w:uiPriority w:val="0"/>
    <w:pPr>
      <w:widowControl/>
      <w:spacing w:before="100" w:beforeAutospacing="1" w:after="100" w:afterAutospacing="1"/>
      <w:jc w:val="center"/>
    </w:pPr>
    <w:rPr>
      <w:rFonts w:ascii="仿宋" w:hAnsi="仿宋" w:eastAsia="仿宋" w:cs="宋体"/>
      <w:kern w:val="0"/>
      <w:sz w:val="20"/>
      <w:szCs w:val="20"/>
    </w:rPr>
  </w:style>
  <w:style w:type="paragraph" w:customStyle="1" w:styleId="109">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szCs w:val="20"/>
    </w:rPr>
  </w:style>
  <w:style w:type="paragraph" w:customStyle="1" w:styleId="110">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仿宋" w:hAnsi="仿宋" w:eastAsia="仿宋" w:cs="宋体"/>
      <w:color w:val="000000"/>
      <w:kern w:val="0"/>
      <w:sz w:val="20"/>
      <w:szCs w:val="20"/>
    </w:rPr>
  </w:style>
  <w:style w:type="paragraph" w:customStyle="1" w:styleId="111">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仿宋" w:hAnsi="仿宋" w:eastAsia="仿宋" w:cs="宋体"/>
      <w:color w:val="000000"/>
      <w:kern w:val="0"/>
      <w:sz w:val="20"/>
      <w:szCs w:val="20"/>
    </w:rPr>
  </w:style>
  <w:style w:type="paragraph" w:customStyle="1" w:styleId="112">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仿宋" w:hAnsi="仿宋" w:eastAsia="仿宋" w:cs="宋体"/>
      <w:kern w:val="0"/>
      <w:sz w:val="20"/>
      <w:szCs w:val="20"/>
    </w:rPr>
  </w:style>
  <w:style w:type="paragraph" w:customStyle="1" w:styleId="113">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仿宋" w:hAnsi="仿宋" w:eastAsia="仿宋" w:cs="宋体"/>
      <w:color w:val="000000"/>
      <w:kern w:val="0"/>
      <w:sz w:val="20"/>
      <w:szCs w:val="20"/>
    </w:rPr>
  </w:style>
  <w:style w:type="paragraph" w:customStyle="1" w:styleId="114">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right"/>
    </w:pPr>
    <w:rPr>
      <w:rFonts w:ascii="仿宋" w:hAnsi="仿宋" w:eastAsia="仿宋" w:cs="宋体"/>
      <w:color w:val="000000"/>
      <w:kern w:val="0"/>
      <w:sz w:val="20"/>
      <w:szCs w:val="20"/>
    </w:rPr>
  </w:style>
  <w:style w:type="paragraph" w:customStyle="1" w:styleId="115">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16">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17">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18">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right"/>
    </w:pPr>
    <w:rPr>
      <w:rFonts w:ascii="仿宋" w:hAnsi="仿宋" w:eastAsia="仿宋" w:cs="宋体"/>
      <w:color w:val="000000"/>
      <w:kern w:val="0"/>
      <w:sz w:val="20"/>
      <w:szCs w:val="20"/>
    </w:rPr>
  </w:style>
  <w:style w:type="paragraph" w:customStyle="1" w:styleId="119">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仿宋" w:hAnsi="仿宋" w:eastAsia="仿宋" w:cs="宋体"/>
      <w:color w:val="000000"/>
      <w:kern w:val="0"/>
      <w:sz w:val="20"/>
      <w:szCs w:val="20"/>
    </w:rPr>
  </w:style>
  <w:style w:type="paragraph" w:customStyle="1" w:styleId="120">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right"/>
    </w:pPr>
    <w:rPr>
      <w:rFonts w:ascii="仿宋" w:hAnsi="仿宋" w:eastAsia="仿宋" w:cs="宋体"/>
      <w:color w:val="000000"/>
      <w:kern w:val="0"/>
      <w:sz w:val="20"/>
      <w:szCs w:val="20"/>
    </w:rPr>
  </w:style>
  <w:style w:type="paragraph" w:customStyle="1" w:styleId="121">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仿宋" w:hAnsi="仿宋" w:eastAsia="仿宋" w:cs="宋体"/>
      <w:color w:val="000000"/>
      <w:kern w:val="0"/>
      <w:sz w:val="20"/>
      <w:szCs w:val="20"/>
    </w:rPr>
  </w:style>
  <w:style w:type="paragraph" w:customStyle="1" w:styleId="122">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right"/>
    </w:pPr>
    <w:rPr>
      <w:rFonts w:ascii="仿宋" w:hAnsi="仿宋" w:eastAsia="仿宋" w:cs="宋体"/>
      <w:color w:val="000000"/>
      <w:kern w:val="0"/>
      <w:sz w:val="20"/>
      <w:szCs w:val="20"/>
    </w:rPr>
  </w:style>
  <w:style w:type="paragraph" w:customStyle="1" w:styleId="123">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仿宋" w:hAnsi="仿宋" w:eastAsia="仿宋" w:cs="宋体"/>
      <w:b/>
      <w:bCs/>
      <w:color w:val="000000"/>
      <w:kern w:val="0"/>
      <w:sz w:val="20"/>
      <w:szCs w:val="20"/>
    </w:rPr>
  </w:style>
  <w:style w:type="paragraph" w:customStyle="1" w:styleId="124">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仿宋" w:hAnsi="仿宋" w:eastAsia="仿宋" w:cs="宋体"/>
      <w:color w:val="000000"/>
      <w:kern w:val="0"/>
      <w:sz w:val="20"/>
      <w:szCs w:val="20"/>
    </w:rPr>
  </w:style>
  <w:style w:type="paragraph" w:customStyle="1" w:styleId="125">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right"/>
    </w:pPr>
    <w:rPr>
      <w:rFonts w:ascii="仿宋" w:hAnsi="仿宋" w:eastAsia="仿宋" w:cs="宋体"/>
      <w:color w:val="000000"/>
      <w:kern w:val="0"/>
      <w:sz w:val="20"/>
      <w:szCs w:val="20"/>
    </w:rPr>
  </w:style>
  <w:style w:type="paragraph" w:customStyle="1" w:styleId="126">
    <w:name w:val="xl102"/>
    <w:basedOn w:val="1"/>
    <w:qFormat/>
    <w:uiPriority w:val="0"/>
    <w:pPr>
      <w:widowControl/>
      <w:pBdr>
        <w:top w:val="single" w:color="auto" w:sz="4" w:space="0"/>
        <w:left w:val="single" w:color="auto" w:sz="4" w:space="31"/>
        <w:bottom w:val="single" w:color="auto" w:sz="4" w:space="0"/>
        <w:right w:val="single" w:color="auto" w:sz="4" w:space="0"/>
      </w:pBdr>
      <w:shd w:val="clear" w:color="000000" w:fill="D9E1F2"/>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27">
    <w:name w:val="font0"/>
    <w:basedOn w:val="1"/>
    <w:qFormat/>
    <w:uiPriority w:val="0"/>
    <w:pPr>
      <w:widowControl/>
      <w:spacing w:before="100" w:beforeAutospacing="1" w:after="100" w:afterAutospacing="1"/>
      <w:jc w:val="left"/>
    </w:pPr>
    <w:rPr>
      <w:rFonts w:ascii="仿宋" w:hAnsi="仿宋" w:eastAsia="仿宋" w:cs="宋体"/>
      <w:b/>
      <w:bCs/>
      <w:color w:val="000000"/>
      <w:kern w:val="0"/>
      <w:sz w:val="20"/>
      <w:szCs w:val="20"/>
    </w:rPr>
  </w:style>
  <w:style w:type="paragraph" w:customStyle="1" w:styleId="128">
    <w:name w:val="font1"/>
    <w:basedOn w:val="1"/>
    <w:qFormat/>
    <w:uiPriority w:val="0"/>
    <w:pPr>
      <w:widowControl/>
      <w:spacing w:before="100" w:beforeAutospacing="1" w:after="100" w:afterAutospacing="1"/>
      <w:jc w:val="left"/>
    </w:pPr>
    <w:rPr>
      <w:rFonts w:ascii="宋体" w:hAnsi="宋体" w:eastAsia="宋体" w:cs="宋体"/>
      <w:color w:val="000000"/>
      <w:kern w:val="0"/>
      <w:sz w:val="22"/>
      <w:szCs w:val="22"/>
    </w:rPr>
  </w:style>
  <w:style w:type="paragraph" w:customStyle="1" w:styleId="129">
    <w:name w:val="font2"/>
    <w:basedOn w:val="1"/>
    <w:qFormat/>
    <w:uiPriority w:val="0"/>
    <w:pPr>
      <w:widowControl/>
      <w:spacing w:before="100" w:beforeAutospacing="1" w:after="100" w:afterAutospacing="1"/>
      <w:jc w:val="left"/>
    </w:pPr>
    <w:rPr>
      <w:rFonts w:ascii="仿宋" w:hAnsi="仿宋" w:eastAsia="仿宋" w:cs="宋体"/>
      <w:b/>
      <w:bCs/>
      <w:color w:val="000000"/>
      <w:kern w:val="0"/>
      <w:sz w:val="20"/>
      <w:szCs w:val="20"/>
    </w:rPr>
  </w:style>
  <w:style w:type="paragraph" w:customStyle="1" w:styleId="130">
    <w:name w:val="font3"/>
    <w:basedOn w:val="1"/>
    <w:qFormat/>
    <w:uiPriority w:val="0"/>
    <w:pPr>
      <w:widowControl/>
      <w:spacing w:before="100" w:beforeAutospacing="1" w:after="100" w:afterAutospacing="1"/>
      <w:jc w:val="left"/>
    </w:pPr>
    <w:rPr>
      <w:rFonts w:ascii="仿宋" w:hAnsi="仿宋" w:eastAsia="仿宋" w:cs="宋体"/>
      <w:color w:val="000000"/>
      <w:kern w:val="0"/>
      <w:sz w:val="20"/>
      <w:szCs w:val="20"/>
    </w:rPr>
  </w:style>
  <w:style w:type="paragraph" w:customStyle="1" w:styleId="131">
    <w:name w:val="font4"/>
    <w:basedOn w:val="1"/>
    <w:qFormat/>
    <w:uiPriority w:val="0"/>
    <w:pPr>
      <w:widowControl/>
      <w:spacing w:before="100" w:beforeAutospacing="1" w:after="100" w:afterAutospacing="1"/>
      <w:jc w:val="left"/>
    </w:pPr>
    <w:rPr>
      <w:rFonts w:ascii="仿宋" w:hAnsi="仿宋" w:eastAsia="仿宋" w:cs="宋体"/>
      <w:color w:val="000000"/>
      <w:kern w:val="0"/>
      <w:sz w:val="20"/>
      <w:szCs w:val="20"/>
    </w:rPr>
  </w:style>
  <w:style w:type="paragraph" w:customStyle="1" w:styleId="132">
    <w:name w:val="et2"/>
    <w:basedOn w:val="1"/>
    <w:qFormat/>
    <w:uiPriority w:val="0"/>
    <w:pPr>
      <w:widowControl/>
      <w:spacing w:before="100" w:beforeAutospacing="1" w:after="100" w:afterAutospacing="1"/>
      <w:jc w:val="center"/>
    </w:pPr>
    <w:rPr>
      <w:rFonts w:ascii="仿宋" w:hAnsi="仿宋" w:eastAsia="仿宋" w:cs="宋体"/>
      <w:kern w:val="0"/>
      <w:sz w:val="20"/>
      <w:szCs w:val="20"/>
    </w:rPr>
  </w:style>
  <w:style w:type="paragraph" w:customStyle="1" w:styleId="133">
    <w:name w:val="et3"/>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34">
    <w:name w:val="et4"/>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35">
    <w:name w:val="et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s="宋体"/>
      <w:b/>
      <w:bCs/>
      <w:color w:val="000000"/>
      <w:kern w:val="0"/>
      <w:sz w:val="20"/>
      <w:szCs w:val="20"/>
    </w:rPr>
  </w:style>
  <w:style w:type="paragraph" w:customStyle="1" w:styleId="136">
    <w:name w:val="et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仿宋" w:hAnsi="仿宋" w:eastAsia="仿宋" w:cs="宋体"/>
      <w:color w:val="000000"/>
      <w:kern w:val="0"/>
      <w:sz w:val="20"/>
      <w:szCs w:val="20"/>
    </w:rPr>
  </w:style>
  <w:style w:type="paragraph" w:customStyle="1" w:styleId="137">
    <w:name w:val="et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right"/>
    </w:pPr>
    <w:rPr>
      <w:rFonts w:ascii="仿宋" w:hAnsi="仿宋" w:eastAsia="仿宋" w:cs="宋体"/>
      <w:color w:val="000000"/>
      <w:kern w:val="0"/>
      <w:sz w:val="20"/>
      <w:szCs w:val="20"/>
    </w:rPr>
  </w:style>
  <w:style w:type="paragraph" w:customStyle="1" w:styleId="138">
    <w:name w:val="et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2CC"/>
      <w:spacing w:before="100" w:beforeAutospacing="1" w:after="100" w:afterAutospacing="1"/>
      <w:jc w:val="center"/>
    </w:pPr>
    <w:rPr>
      <w:rFonts w:ascii="仿宋" w:hAnsi="仿宋" w:eastAsia="仿宋" w:cs="宋体"/>
      <w:color w:val="000000"/>
      <w:kern w:val="0"/>
      <w:sz w:val="20"/>
      <w:szCs w:val="20"/>
    </w:rPr>
  </w:style>
  <w:style w:type="paragraph" w:customStyle="1" w:styleId="139">
    <w:name w:val="et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2CC"/>
      <w:spacing w:before="100" w:beforeAutospacing="1" w:after="100" w:afterAutospacing="1"/>
      <w:jc w:val="right"/>
    </w:pPr>
    <w:rPr>
      <w:rFonts w:ascii="仿宋" w:hAnsi="仿宋" w:eastAsia="仿宋" w:cs="宋体"/>
      <w:color w:val="000000"/>
      <w:kern w:val="0"/>
      <w:sz w:val="20"/>
      <w:szCs w:val="20"/>
    </w:rPr>
  </w:style>
  <w:style w:type="paragraph" w:customStyle="1" w:styleId="140">
    <w:name w:val="et1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仿宋" w:hAnsi="仿宋" w:eastAsia="仿宋" w:cs="宋体"/>
      <w:color w:val="000000"/>
      <w:kern w:val="0"/>
      <w:sz w:val="20"/>
      <w:szCs w:val="20"/>
    </w:rPr>
  </w:style>
  <w:style w:type="paragraph" w:customStyle="1" w:styleId="141">
    <w:name w:val="et1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right"/>
    </w:pPr>
    <w:rPr>
      <w:rFonts w:ascii="仿宋" w:hAnsi="仿宋" w:eastAsia="仿宋" w:cs="宋体"/>
      <w:color w:val="000000"/>
      <w:kern w:val="0"/>
      <w:sz w:val="20"/>
      <w:szCs w:val="20"/>
    </w:rPr>
  </w:style>
  <w:style w:type="paragraph" w:customStyle="1" w:styleId="142">
    <w:name w:val="et1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43">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44">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 w:hAnsi="仿宋" w:eastAsia="仿宋" w:cs="宋体"/>
      <w:color w:val="000000"/>
      <w:kern w:val="0"/>
      <w:sz w:val="20"/>
      <w:szCs w:val="20"/>
    </w:rPr>
  </w:style>
  <w:style w:type="paragraph" w:customStyle="1" w:styleId="145">
    <w:name w:val="et1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46">
    <w:name w:val="et1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47">
    <w:name w:val="et1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2CC"/>
      <w:spacing w:before="100" w:beforeAutospacing="1" w:after="100" w:afterAutospacing="1"/>
      <w:jc w:val="center"/>
    </w:pPr>
    <w:rPr>
      <w:rFonts w:ascii="仿宋" w:hAnsi="仿宋" w:eastAsia="仿宋" w:cs="宋体"/>
      <w:b/>
      <w:bCs/>
      <w:color w:val="000000"/>
      <w:kern w:val="0"/>
      <w:sz w:val="20"/>
      <w:szCs w:val="20"/>
    </w:rPr>
  </w:style>
  <w:style w:type="paragraph" w:customStyle="1" w:styleId="148">
    <w:name w:val="et1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仿宋" w:hAnsi="仿宋" w:eastAsia="仿宋" w:cs="宋体"/>
      <w:color w:val="000000"/>
      <w:kern w:val="0"/>
      <w:sz w:val="20"/>
      <w:szCs w:val="20"/>
    </w:rPr>
  </w:style>
  <w:style w:type="paragraph" w:customStyle="1" w:styleId="149">
    <w:name w:val="et1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right"/>
    </w:pPr>
    <w:rPr>
      <w:rFonts w:ascii="仿宋" w:hAnsi="仿宋" w:eastAsia="仿宋" w:cs="宋体"/>
      <w:color w:val="000000"/>
      <w:kern w:val="0"/>
      <w:sz w:val="20"/>
      <w:szCs w:val="20"/>
    </w:rPr>
  </w:style>
  <w:style w:type="paragraph" w:customStyle="1" w:styleId="150">
    <w:name w:val="et2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51">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52">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53">
    <w:name w:val="et2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54">
    <w:name w:val="et2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仿宋" w:hAnsi="仿宋" w:eastAsia="仿宋" w:cs="宋体"/>
      <w:b/>
      <w:bCs/>
      <w:color w:val="000000"/>
      <w:kern w:val="0"/>
      <w:sz w:val="20"/>
      <w:szCs w:val="20"/>
    </w:rPr>
  </w:style>
  <w:style w:type="paragraph" w:customStyle="1" w:styleId="155">
    <w:name w:val="et2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left"/>
    </w:pPr>
    <w:rPr>
      <w:rFonts w:ascii="仿宋" w:hAnsi="仿宋" w:eastAsia="仿宋" w:cs="宋体"/>
      <w:b/>
      <w:bCs/>
      <w:kern w:val="0"/>
      <w:sz w:val="20"/>
      <w:szCs w:val="20"/>
    </w:rPr>
  </w:style>
  <w:style w:type="paragraph" w:customStyle="1" w:styleId="156">
    <w:name w:val="et2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right"/>
    </w:pPr>
    <w:rPr>
      <w:rFonts w:ascii="仿宋" w:hAnsi="仿宋" w:eastAsia="仿宋" w:cs="宋体"/>
      <w:b/>
      <w:bCs/>
      <w:color w:val="000000"/>
      <w:kern w:val="0"/>
      <w:sz w:val="20"/>
      <w:szCs w:val="20"/>
    </w:rPr>
  </w:style>
  <w:style w:type="paragraph" w:customStyle="1" w:styleId="157">
    <w:name w:val="et2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left"/>
    </w:pPr>
    <w:rPr>
      <w:rFonts w:ascii="仿宋" w:hAnsi="仿宋" w:eastAsia="仿宋" w:cs="宋体"/>
      <w:b/>
      <w:bCs/>
      <w:color w:val="000000"/>
      <w:kern w:val="0"/>
      <w:sz w:val="20"/>
      <w:szCs w:val="20"/>
    </w:rPr>
  </w:style>
  <w:style w:type="paragraph" w:customStyle="1" w:styleId="158">
    <w:name w:val="et2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cs="宋体"/>
      <w:kern w:val="0"/>
      <w:sz w:val="20"/>
      <w:szCs w:val="20"/>
    </w:rPr>
  </w:style>
  <w:style w:type="paragraph" w:customStyle="1" w:styleId="159">
    <w:name w:val="et2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cs="宋体"/>
      <w:color w:val="000000"/>
      <w:kern w:val="0"/>
      <w:sz w:val="20"/>
      <w:szCs w:val="20"/>
    </w:rPr>
  </w:style>
  <w:style w:type="paragraph" w:customStyle="1" w:styleId="160">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仿宋" w:hAnsi="仿宋" w:eastAsia="仿宋" w:cs="宋体"/>
      <w:b/>
      <w:bCs/>
      <w:color w:val="000000"/>
      <w:kern w:val="0"/>
      <w:sz w:val="20"/>
      <w:szCs w:val="20"/>
    </w:rPr>
  </w:style>
  <w:style w:type="paragraph" w:customStyle="1" w:styleId="161">
    <w:name w:val="xl104"/>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仿宋" w:hAnsi="仿宋" w:eastAsia="仿宋" w:cs="宋体"/>
      <w:b/>
      <w:bCs/>
      <w:color w:val="000000"/>
      <w:kern w:val="0"/>
      <w:sz w:val="20"/>
      <w:szCs w:val="20"/>
    </w:rPr>
  </w:style>
  <w:style w:type="paragraph" w:customStyle="1" w:styleId="162">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仿宋" w:hAnsi="仿宋" w:eastAsia="仿宋" w:cs="宋体"/>
      <w:b/>
      <w:bCs/>
      <w:color w:val="000000"/>
      <w:kern w:val="0"/>
      <w:sz w:val="20"/>
      <w:szCs w:val="20"/>
    </w:rPr>
  </w:style>
  <w:style w:type="paragraph" w:customStyle="1" w:styleId="163">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kern w:val="0"/>
      <w:sz w:val="24"/>
    </w:rPr>
  </w:style>
  <w:style w:type="paragraph" w:customStyle="1" w:styleId="164">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kern w:val="0"/>
      <w:sz w:val="24"/>
    </w:rPr>
  </w:style>
  <w:style w:type="paragraph" w:customStyle="1" w:styleId="165">
    <w:name w:val="xl108"/>
    <w:basedOn w:val="1"/>
    <w:qFormat/>
    <w:uiPriority w:val="0"/>
    <w:pPr>
      <w:widowControl/>
      <w:spacing w:before="100" w:beforeAutospacing="1" w:after="100" w:afterAutospacing="1"/>
      <w:jc w:val="center"/>
    </w:pPr>
    <w:rPr>
      <w:rFonts w:ascii="仿宋" w:hAnsi="仿宋" w:eastAsia="仿宋" w:cs="宋体"/>
      <w:kern w:val="0"/>
      <w:sz w:val="24"/>
    </w:rPr>
  </w:style>
  <w:style w:type="paragraph" w:customStyle="1" w:styleId="166">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4"/>
    </w:rPr>
  </w:style>
  <w:style w:type="paragraph" w:customStyle="1" w:styleId="167">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68">
    <w:name w:val="xl111"/>
    <w:basedOn w:val="1"/>
    <w:qFormat/>
    <w:uiPriority w:val="0"/>
    <w:pPr>
      <w:widowControl/>
      <w:pBdr>
        <w:top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69">
    <w:name w:val="xl11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70">
    <w:name w:val="xl11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71">
    <w:name w:val="xl11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72">
    <w:name w:val="xl11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paragraph" w:customStyle="1" w:styleId="173">
    <w:name w:val="xl11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character" w:customStyle="1" w:styleId="174">
    <w:name w:val="页眉 字符"/>
    <w:basedOn w:val="34"/>
    <w:link w:val="19"/>
    <w:qFormat/>
    <w:uiPriority w:val="0"/>
    <w:rPr>
      <w:rFonts w:asciiTheme="minorHAnsi" w:hAnsiTheme="minorHAnsi" w:eastAsiaTheme="minorEastAsia" w:cstheme="minorBidi"/>
      <w:kern w:val="2"/>
      <w:sz w:val="18"/>
      <w:szCs w:val="18"/>
    </w:rPr>
  </w:style>
  <w:style w:type="paragraph" w:customStyle="1" w:styleId="175">
    <w:name w:val="Body text|1"/>
    <w:basedOn w:val="1"/>
    <w:unhideWhenUsed/>
    <w:qFormat/>
    <w:uiPriority w:val="0"/>
    <w:pPr>
      <w:spacing w:after="90" w:line="480" w:lineRule="auto"/>
      <w:ind w:firstLine="400" w:firstLineChars="200"/>
    </w:pPr>
    <w:rPr>
      <w:rFonts w:hint="eastAsia" w:ascii="MingLiU" w:hAnsi="MingLiU" w:eastAsia="MingLiU" w:cs="仿宋"/>
      <w:sz w:val="19"/>
      <w:lang w:val="zh-TW" w:eastAsia="zh-TW"/>
    </w:rPr>
  </w:style>
  <w:style w:type="paragraph" w:customStyle="1" w:styleId="176">
    <w:name w:val="标题 5（有编号）（绿盟科技）"/>
    <w:basedOn w:val="1"/>
    <w:next w:val="177"/>
    <w:qFormat/>
    <w:uiPriority w:val="0"/>
    <w:pPr>
      <w:keepNext/>
      <w:keepLines/>
      <w:numPr>
        <w:ilvl w:val="4"/>
        <w:numId w:val="1"/>
      </w:numPr>
      <w:spacing w:before="280" w:after="156" w:line="377" w:lineRule="auto"/>
      <w:ind w:firstLine="720" w:firstLineChars="200"/>
      <w:jc w:val="left"/>
      <w:outlineLvl w:val="4"/>
    </w:pPr>
    <w:rPr>
      <w:rFonts w:ascii="Arial" w:hAnsi="Arial" w:eastAsia="黑体" w:cs="仿宋"/>
      <w:b/>
      <w:sz w:val="24"/>
      <w:szCs w:val="28"/>
    </w:rPr>
  </w:style>
  <w:style w:type="paragraph" w:customStyle="1" w:styleId="177">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178">
    <w:name w:val="6666"/>
    <w:basedOn w:val="1"/>
    <w:qFormat/>
    <w:uiPriority w:val="0"/>
    <w:pPr>
      <w:jc w:val="center"/>
    </w:pPr>
    <w:rPr>
      <w:rFonts w:ascii="仿宋" w:hAnsi="仿宋" w:eastAsia="仿宋" w:cs="仿宋"/>
      <w:kern w:val="0"/>
      <w:sz w:val="18"/>
      <w:szCs w:val="18"/>
    </w:rPr>
  </w:style>
  <w:style w:type="paragraph" w:customStyle="1" w:styleId="179">
    <w:name w:val="666"/>
    <w:basedOn w:val="1"/>
    <w:qFormat/>
    <w:uiPriority w:val="0"/>
    <w:pPr>
      <w:widowControl/>
      <w:spacing w:line="320" w:lineRule="exact"/>
      <w:ind w:firstLine="720" w:firstLineChars="200"/>
      <w:jc w:val="center"/>
      <w:textAlignment w:val="center"/>
    </w:pPr>
    <w:rPr>
      <w:rFonts w:hint="eastAsia" w:ascii="仿宋" w:hAnsi="仿宋" w:eastAsia="仿宋" w:cs="Times New Roman"/>
      <w:color w:val="000000"/>
      <w:kern w:val="0"/>
      <w:sz w:val="22"/>
      <w:szCs w:val="28"/>
    </w:rPr>
  </w:style>
  <w:style w:type="character" w:customStyle="1" w:styleId="180">
    <w:name w:val="未处理的提及1"/>
    <w:basedOn w:val="34"/>
    <w:semiHidden/>
    <w:unhideWhenUsed/>
    <w:qFormat/>
    <w:uiPriority w:val="99"/>
    <w:rPr>
      <w:color w:val="605E5C"/>
      <w:shd w:val="clear" w:color="auto" w:fill="E1DFDD"/>
    </w:rPr>
  </w:style>
  <w:style w:type="paragraph" w:customStyle="1" w:styleId="181">
    <w:name w:val="xl11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82">
    <w:name w:val="xl11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83">
    <w:name w:val="xl11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84">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85">
    <w:name w:val="font7"/>
    <w:basedOn w:val="1"/>
    <w:qFormat/>
    <w:uiPriority w:val="0"/>
    <w:pPr>
      <w:widowControl/>
      <w:spacing w:before="100" w:beforeAutospacing="1" w:after="100" w:afterAutospacing="1"/>
      <w:jc w:val="left"/>
    </w:pPr>
    <w:rPr>
      <w:rFonts w:ascii="仿宋" w:hAnsi="仿宋" w:eastAsia="仿宋" w:cs="宋体"/>
      <w:color w:val="000000"/>
      <w:kern w:val="0"/>
      <w:sz w:val="22"/>
      <w:szCs w:val="22"/>
    </w:rPr>
  </w:style>
  <w:style w:type="paragraph" w:customStyle="1" w:styleId="186">
    <w:name w:val="xl12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7">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8">
    <w:name w:val="xl12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9">
    <w:name w:val="xl123"/>
    <w:basedOn w:val="1"/>
    <w:qFormat/>
    <w:uiPriority w:val="0"/>
    <w:pPr>
      <w:widowControl/>
      <w:pBdr>
        <w:top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90">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paragraph" w:customStyle="1" w:styleId="191">
    <w:name w:val="xl12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character" w:customStyle="1" w:styleId="192">
    <w:name w:val="Unresolved Mention"/>
    <w:basedOn w:val="34"/>
    <w:semiHidden/>
    <w:unhideWhenUsed/>
    <w:qFormat/>
    <w:uiPriority w:val="99"/>
    <w:rPr>
      <w:color w:val="605E5C"/>
      <w:shd w:val="clear" w:color="auto" w:fill="E1DFDD"/>
    </w:rPr>
  </w:style>
  <w:style w:type="character" w:customStyle="1" w:styleId="193">
    <w:name w:val="称呼 字符"/>
    <w:basedOn w:val="34"/>
    <w:link w:val="10"/>
    <w:qFormat/>
    <w:uiPriority w:val="99"/>
    <w:rPr>
      <w:rFonts w:eastAsia="仿宋" w:cs="Calibri"/>
      <w:kern w:val="2"/>
      <w:sz w:val="28"/>
      <w:szCs w:val="21"/>
    </w:rPr>
  </w:style>
  <w:style w:type="paragraph" w:customStyle="1" w:styleId="194">
    <w:name w:val="font8"/>
    <w:basedOn w:val="1"/>
    <w:qFormat/>
    <w:uiPriority w:val="0"/>
    <w:pPr>
      <w:widowControl/>
      <w:spacing w:before="100" w:beforeAutospacing="1" w:after="100" w:afterAutospacing="1"/>
      <w:jc w:val="left"/>
    </w:pPr>
    <w:rPr>
      <w:rFonts w:ascii="仿宋" w:hAnsi="仿宋" w:eastAsia="仿宋" w:cs="宋体"/>
      <w:color w:val="000000"/>
      <w:kern w:val="0"/>
      <w:sz w:val="20"/>
      <w:szCs w:val="20"/>
    </w:rPr>
  </w:style>
  <w:style w:type="paragraph" w:customStyle="1" w:styleId="195">
    <w:name w:val="font9"/>
    <w:basedOn w:val="1"/>
    <w:qFormat/>
    <w:uiPriority w:val="0"/>
    <w:pPr>
      <w:widowControl/>
      <w:spacing w:before="100" w:beforeAutospacing="1" w:after="100" w:afterAutospacing="1"/>
      <w:jc w:val="left"/>
    </w:pPr>
    <w:rPr>
      <w:rFonts w:ascii="仿宋" w:hAnsi="仿宋" w:eastAsia="仿宋" w:cs="宋体"/>
      <w:b/>
      <w:bCs/>
      <w:color w:val="000000"/>
      <w:kern w:val="0"/>
      <w:sz w:val="20"/>
      <w:szCs w:val="20"/>
    </w:rPr>
  </w:style>
  <w:style w:type="paragraph" w:customStyle="1" w:styleId="196">
    <w:name w:val="font10"/>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97">
    <w:name w:val="font12"/>
    <w:basedOn w:val="1"/>
    <w:qFormat/>
    <w:uiPriority w:val="0"/>
    <w:pPr>
      <w:widowControl/>
      <w:spacing w:before="100" w:beforeAutospacing="1" w:after="100" w:afterAutospacing="1"/>
      <w:jc w:val="left"/>
    </w:pPr>
    <w:rPr>
      <w:rFonts w:ascii="Times New Roman" w:hAnsi="Times New Roman" w:eastAsia="宋体" w:cs="Times New Roman"/>
      <w:kern w:val="0"/>
      <w:sz w:val="20"/>
      <w:szCs w:val="20"/>
    </w:rPr>
  </w:style>
  <w:style w:type="character" w:customStyle="1" w:styleId="198">
    <w:name w:val="样式8 Char"/>
    <w:qFormat/>
    <w:uiPriority w:val="0"/>
    <w:rPr>
      <w:rFonts w:eastAsia="仿宋" w:cstheme="minorBidi"/>
      <w:kern w:val="2"/>
      <w:sz w:val="28"/>
      <w:szCs w:val="24"/>
    </w:rPr>
  </w:style>
  <w:style w:type="paragraph" w:customStyle="1" w:styleId="199">
    <w:name w:val="xl12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0"/>
      <w:szCs w:val="20"/>
    </w:rPr>
  </w:style>
  <w:style w:type="character" w:customStyle="1" w:styleId="200">
    <w:name w:val="NormalCharacter"/>
    <w:qFormat/>
    <w:uiPriority w:val="0"/>
  </w:style>
  <w:style w:type="paragraph" w:customStyle="1" w:styleId="201">
    <w:name w:val="可研正文"/>
    <w:basedOn w:val="1"/>
    <w:qFormat/>
    <w:uiPriority w:val="0"/>
    <w:pPr>
      <w:spacing w:line="600" w:lineRule="exact"/>
      <w:ind w:firstLine="560" w:firstLineChars="200"/>
    </w:pPr>
    <w:rPr>
      <w:rFonts w:hint="eastAsia" w:ascii="Times New Roman" w:hAnsi="Times New Roman"/>
      <w:color w:val="000000"/>
      <w:szCs w:val="28"/>
      <w:lang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6624CA-DD3D-4099-B3BA-1C2E8AC4612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8422</Words>
  <Characters>15303</Characters>
  <Lines>73</Lines>
  <Paragraphs>20</Paragraphs>
  <TotalTime>4</TotalTime>
  <ScaleCrop>false</ScaleCrop>
  <LinksUpToDate>false</LinksUpToDate>
  <CharactersWithSpaces>18092</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2022-05-26T02:54:00Z</dcterms:created>
  <dc:creator>铭泰中泓</dc:creator>
  <cp:lastModifiedBy>李娅</cp:lastModifiedBy>
  <cp:lastPrinted>2023-01-07T05:51:00Z</cp:lastPrinted>
  <dcterms:modified xsi:type="dcterms:W3CDTF">2025-07-10T01:04:18Z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432D08F7E6BC331918E34368B16900FB_43</vt:lpwstr>
  </property>
  <property fmtid="{D5CDD505-2E9C-101B-9397-08002B2CF9AE}" pid="4" name="KSOTemplateDocerSaveRecord">
    <vt:lpwstr>eyJoZGlkIjoiN2YzNjBkOTgyNWQ1YTMxYzM3MzMwNWFiODNmOWIzYWMiLCJ1c2VySWQiOiIzNTA3MDk2MDAifQ==</vt:lpwstr>
  </property>
</Properties>
</file>